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10773" w:type="dxa"/>
        <w:shd w:val="clear" w:color="auto" w:fill="BDD6EE" w:themeFill="accent1" w:themeFillTint="66"/>
        <w:tblLook w:val="04A0" w:firstRow="1" w:lastRow="0" w:firstColumn="1" w:lastColumn="0" w:noHBand="0" w:noVBand="1"/>
      </w:tblPr>
      <w:tblGrid>
        <w:gridCol w:w="10773"/>
      </w:tblGrid>
      <w:tr w:rsidR="000A7913" w:rsidRPr="007E1133" w14:paraId="58FCEF06" w14:textId="77777777" w:rsidTr="00FE39E8">
        <w:tc>
          <w:tcPr>
            <w:tcW w:w="10773" w:type="dxa"/>
            <w:tcBorders>
              <w:top w:val="nil"/>
              <w:left w:val="nil"/>
              <w:bottom w:val="nil"/>
              <w:right w:val="nil"/>
            </w:tcBorders>
            <w:shd w:val="clear" w:color="auto" w:fill="1B3D95"/>
          </w:tcPr>
          <w:p w14:paraId="1DF19C11" w14:textId="77777777" w:rsidR="000A7913" w:rsidRPr="00FE39E8"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5C7C9E18"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FE39E8">
        <w:rPr>
          <w:rFonts w:ascii="Arial" w:hAnsi="Arial" w:cs="Arial"/>
        </w:rPr>
        <w:t>TOP 1 GEAR OIL EP</w:t>
      </w:r>
      <w:r w:rsidR="000C6563" w:rsidRPr="000C6563">
        <w:rPr>
          <w:rFonts w:ascii="Arial" w:hAnsi="Arial" w:cs="Arial"/>
        </w:rPr>
        <w:t xml:space="preserve"> SAE 90 API GL-5</w:t>
      </w:r>
    </w:p>
    <w:p w14:paraId="3CFC38EC" w14:textId="097FDF85"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C256E" w:rsidRPr="009C256E">
        <w:rPr>
          <w:rFonts w:ascii="Arial" w:hAnsi="Arial" w:cs="Arial"/>
        </w:rPr>
        <w:t>Lubrificante mineral para caixa de transmissão e diferencial tipo hipoidal, para veículos de passeio, ônibus, caminhões e maquinas agrícolas.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Ilio Veronez, 211 Dist.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1952BEC2"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507A4D94" w14:textId="03250273" w:rsidR="00835A6E"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FE39E8">
        <w:tc>
          <w:tcPr>
            <w:tcW w:w="10773" w:type="dxa"/>
            <w:tcBorders>
              <w:top w:val="nil"/>
              <w:left w:val="nil"/>
              <w:bottom w:val="nil"/>
              <w:right w:val="nil"/>
            </w:tcBorders>
            <w:shd w:val="clear" w:color="auto" w:fill="1B3D95"/>
          </w:tcPr>
          <w:p w14:paraId="4B1FCB2B" w14:textId="77777777" w:rsidR="000A7913" w:rsidRPr="009C256E" w:rsidRDefault="000A7913" w:rsidP="00B06D60">
            <w:pPr>
              <w:pStyle w:val="PargrafodaLista"/>
              <w:numPr>
                <w:ilvl w:val="0"/>
                <w:numId w:val="3"/>
              </w:numPr>
              <w:tabs>
                <w:tab w:val="left" w:pos="5025"/>
              </w:tabs>
              <w:ind w:right="128"/>
              <w:rPr>
                <w:rFonts w:ascii="Arial" w:hAnsi="Arial" w:cs="Arial"/>
                <w:b/>
                <w:sz w:val="24"/>
                <w:szCs w:val="24"/>
              </w:rPr>
            </w:pPr>
            <w:r w:rsidRPr="00FE39E8">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26E1A9B3" w14:textId="77777777" w:rsidR="00647559" w:rsidRDefault="00647559" w:rsidP="00647559">
      <w:pPr>
        <w:spacing w:line="360" w:lineRule="auto"/>
        <w:ind w:right="128"/>
        <w:jc w:val="both"/>
        <w:rPr>
          <w:rFonts w:ascii="Arial" w:hAnsi="Arial" w:cs="Arial"/>
        </w:rPr>
      </w:pPr>
      <w:r>
        <w:rPr>
          <w:rFonts w:ascii="Arial" w:hAnsi="Arial" w:cs="Arial"/>
          <w:b/>
        </w:rPr>
        <w:t xml:space="preserve">2.1. Classificação da substância/mistura: </w:t>
      </w:r>
    </w:p>
    <w:p w14:paraId="3A37F2C6" w14:textId="77777777" w:rsidR="00647559" w:rsidRDefault="00647559" w:rsidP="00647559">
      <w:pPr>
        <w:spacing w:line="276" w:lineRule="auto"/>
        <w:ind w:right="128"/>
        <w:jc w:val="both"/>
        <w:rPr>
          <w:rFonts w:ascii="Arial" w:hAnsi="Arial" w:cs="Arial"/>
        </w:rPr>
      </w:pPr>
      <w:r>
        <w:rPr>
          <w:rFonts w:ascii="Arial" w:hAnsi="Arial" w:cs="Arial"/>
        </w:rPr>
        <w:t>Sensibilização da pele – Categoria 1</w:t>
      </w:r>
    </w:p>
    <w:p w14:paraId="0F6958FE" w14:textId="77777777" w:rsidR="00647559" w:rsidRDefault="00647559" w:rsidP="00647559">
      <w:pPr>
        <w:spacing w:line="276" w:lineRule="auto"/>
        <w:ind w:right="128"/>
        <w:jc w:val="both"/>
        <w:rPr>
          <w:rFonts w:ascii="Arial" w:hAnsi="Arial" w:cs="Arial"/>
        </w:rPr>
      </w:pPr>
      <w:r>
        <w:rPr>
          <w:rFonts w:ascii="Arial" w:hAnsi="Arial" w:cs="Arial"/>
        </w:rPr>
        <w:t>Perigoso ao ambiente aquático – Agudo – Categoria 2</w:t>
      </w:r>
    </w:p>
    <w:p w14:paraId="5787D18D" w14:textId="77777777" w:rsidR="00647559" w:rsidRDefault="00647559" w:rsidP="00647559">
      <w:pPr>
        <w:spacing w:line="276" w:lineRule="auto"/>
        <w:ind w:right="128"/>
        <w:jc w:val="both"/>
        <w:rPr>
          <w:rFonts w:ascii="Arial" w:hAnsi="Arial" w:cs="Arial"/>
        </w:rPr>
      </w:pPr>
      <w:r>
        <w:rPr>
          <w:rFonts w:ascii="Arial" w:hAnsi="Arial" w:cs="Arial"/>
        </w:rPr>
        <w:t>Perigoso ao ambiente aquático – Crônico - Categoria 2</w:t>
      </w:r>
    </w:p>
    <w:p w14:paraId="107F00CB" w14:textId="77777777" w:rsidR="00647559" w:rsidRDefault="00647559" w:rsidP="00647559">
      <w:pPr>
        <w:spacing w:line="360" w:lineRule="auto"/>
        <w:ind w:right="128"/>
        <w:jc w:val="both"/>
        <w:rPr>
          <w:rFonts w:ascii="Arial" w:hAnsi="Arial" w:cs="Arial"/>
        </w:rPr>
      </w:pPr>
      <w:r>
        <w:rPr>
          <w:rFonts w:ascii="Arial" w:hAnsi="Arial" w:cs="Arial"/>
          <w:b/>
        </w:rPr>
        <w:t xml:space="preserve">2.2 Sistema de Classificação Utilizado: </w:t>
      </w:r>
      <w:r>
        <w:rPr>
          <w:rFonts w:ascii="Arial" w:hAnsi="Arial" w:cs="Arial"/>
        </w:rPr>
        <w:t>ABNT NBR 14725:2023 – Produtos Químicos – Informações sobre segurança, saúde e meio ambiente – Aspectos Gerais do Sistema Globalmente Harmonizado (GHS), Classificação, FDS e Rotulagem de Produtos Químicos.</w:t>
      </w:r>
    </w:p>
    <w:p w14:paraId="734E14CE" w14:textId="77777777" w:rsidR="00647559" w:rsidRDefault="00647559" w:rsidP="00647559">
      <w:pPr>
        <w:spacing w:line="360" w:lineRule="auto"/>
        <w:ind w:right="128"/>
        <w:jc w:val="both"/>
        <w:rPr>
          <w:rFonts w:ascii="Arial" w:hAnsi="Arial" w:cs="Arial"/>
          <w:b/>
        </w:rPr>
      </w:pPr>
      <w:r>
        <w:rPr>
          <w:rFonts w:ascii="Arial" w:hAnsi="Arial" w:cs="Arial"/>
          <w:b/>
        </w:rPr>
        <w:t xml:space="preserve">2.3. Elementos de rotulagem do GHS, incluindo frases de precaução: </w:t>
      </w:r>
    </w:p>
    <w:p w14:paraId="1581115C" w14:textId="77777777" w:rsidR="00647559" w:rsidRDefault="00647559" w:rsidP="00647559">
      <w:pPr>
        <w:spacing w:line="360" w:lineRule="auto"/>
        <w:ind w:right="128"/>
        <w:jc w:val="both"/>
        <w:rPr>
          <w:rFonts w:ascii="Arial" w:hAnsi="Arial" w:cs="Arial"/>
          <w:b/>
        </w:rPr>
      </w:pPr>
      <w:r>
        <w:rPr>
          <w:rFonts w:ascii="Arial" w:hAnsi="Arial" w:cs="Arial"/>
          <w:b/>
        </w:rPr>
        <w:t xml:space="preserve">Pictograma(s): </w:t>
      </w:r>
    </w:p>
    <w:p w14:paraId="1383A6E7" w14:textId="6C8D408D" w:rsidR="00647559" w:rsidRDefault="00647559" w:rsidP="00647559">
      <w:pPr>
        <w:spacing w:line="360" w:lineRule="auto"/>
        <w:ind w:right="128"/>
        <w:jc w:val="both"/>
        <w:rPr>
          <w:rFonts w:ascii="Arial" w:hAnsi="Arial" w:cs="Arial"/>
          <w:bCs/>
        </w:rPr>
      </w:pPr>
      <w:r>
        <w:rPr>
          <w:rFonts w:ascii="Arial" w:hAnsi="Arial" w:cs="Arial"/>
          <w:b/>
          <w:noProof/>
          <w:lang w:eastAsia="pt-BR"/>
        </w:rPr>
        <w:drawing>
          <wp:inline distT="0" distB="0" distL="0" distR="0" wp14:anchorId="131777A6" wp14:editId="0250B06F">
            <wp:extent cx="666750" cy="666750"/>
            <wp:effectExtent l="0" t="0" r="0" b="0"/>
            <wp:docPr id="912590064"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Arial" w:hAnsi="Arial" w:cs="Arial"/>
          <w:noProof/>
          <w:szCs w:val="24"/>
        </w:rPr>
        <w:drawing>
          <wp:inline distT="0" distB="0" distL="0" distR="0" wp14:anchorId="0655DBE6" wp14:editId="0FDAA4B9">
            <wp:extent cx="666750" cy="666750"/>
            <wp:effectExtent l="0" t="0" r="0" b="0"/>
            <wp:docPr id="166307244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3CA6B366" w14:textId="77777777" w:rsidR="00647559" w:rsidRDefault="00647559" w:rsidP="00647559">
      <w:pPr>
        <w:spacing w:line="360" w:lineRule="auto"/>
        <w:ind w:right="128"/>
        <w:jc w:val="both"/>
        <w:rPr>
          <w:rFonts w:ascii="Arial" w:hAnsi="Arial" w:cs="Arial"/>
          <w:bCs/>
        </w:rPr>
      </w:pPr>
      <w:r>
        <w:rPr>
          <w:rFonts w:ascii="Arial" w:hAnsi="Arial" w:cs="Arial"/>
          <w:b/>
        </w:rPr>
        <w:t xml:space="preserve">Palavra de Advertência: </w:t>
      </w:r>
      <w:r>
        <w:rPr>
          <w:rFonts w:ascii="Arial" w:hAnsi="Arial" w:cs="Arial"/>
          <w:bCs/>
        </w:rPr>
        <w:t>ATENÇÃO</w:t>
      </w:r>
    </w:p>
    <w:p w14:paraId="623D34D5" w14:textId="77777777" w:rsidR="00647559" w:rsidRDefault="00647559" w:rsidP="00647559">
      <w:pPr>
        <w:spacing w:line="360" w:lineRule="auto"/>
        <w:ind w:right="128"/>
        <w:jc w:val="both"/>
        <w:rPr>
          <w:rFonts w:ascii="Arial" w:hAnsi="Arial" w:cs="Arial"/>
          <w:bCs/>
        </w:rPr>
      </w:pPr>
      <w:r>
        <w:rPr>
          <w:rFonts w:ascii="Arial" w:hAnsi="Arial" w:cs="Arial"/>
          <w:b/>
        </w:rPr>
        <w:t xml:space="preserve">Frase de perigo: </w:t>
      </w:r>
      <w:r>
        <w:rPr>
          <w:rFonts w:ascii="Arial" w:hAnsi="Arial" w:cs="Arial"/>
          <w:bCs/>
        </w:rPr>
        <w:t>H411: Tóxico para os organismos aquáticos, com efeitos prolongados. | H317: Pode provocar reações alérgicas na pele.</w:t>
      </w:r>
    </w:p>
    <w:p w14:paraId="6120B4FB" w14:textId="77777777" w:rsidR="00647559" w:rsidRDefault="00647559" w:rsidP="00647559">
      <w:pPr>
        <w:spacing w:line="360" w:lineRule="auto"/>
        <w:ind w:right="128"/>
        <w:jc w:val="both"/>
        <w:rPr>
          <w:rFonts w:ascii="Arial" w:hAnsi="Arial" w:cs="Arial"/>
          <w:bCs/>
        </w:rPr>
      </w:pPr>
      <w:r>
        <w:rPr>
          <w:rFonts w:ascii="Arial" w:hAnsi="Arial" w:cs="Arial"/>
          <w:b/>
        </w:rPr>
        <w:t xml:space="preserve">Prevenção: </w:t>
      </w:r>
      <w:r>
        <w:rPr>
          <w:rFonts w:ascii="Arial" w:hAnsi="Arial" w:cs="Arial"/>
          <w:bCs/>
        </w:rPr>
        <w:t>P273: Evite a liberação para o meio ambiente | P261: Evite inalar névoas e vapores. | P272: A roupa de trabalho contaminada não pode sair do local de trabalho. | P280: Use luvas de proteção, roupa de proteção e proteção ocular</w:t>
      </w:r>
    </w:p>
    <w:p w14:paraId="3ECBE6B6" w14:textId="77777777" w:rsidR="00647559" w:rsidRDefault="00647559" w:rsidP="00647559">
      <w:pPr>
        <w:spacing w:line="360" w:lineRule="auto"/>
        <w:ind w:right="128"/>
        <w:jc w:val="both"/>
        <w:rPr>
          <w:rFonts w:ascii="Arial" w:hAnsi="Arial" w:cs="Arial"/>
          <w:bCs/>
        </w:rPr>
      </w:pPr>
      <w:r>
        <w:rPr>
          <w:rFonts w:ascii="Arial" w:hAnsi="Arial" w:cs="Arial"/>
          <w:b/>
        </w:rPr>
        <w:t>Resposta a Emergência:</w:t>
      </w:r>
      <w:r>
        <w:rPr>
          <w:rFonts w:ascii="Arial" w:hAnsi="Arial" w:cs="Arial"/>
          <w:bCs/>
        </w:rPr>
        <w:t xml:space="preserve"> P302 + P352: EM CASO DE CONTATO COM A PELE: Lave com água e sabão em abundância. | P333 + P313: Em caso de irritação ou erupção cutânea: consulte um médico. | P321: Tratamento especifico. | P362 + P364: Retire a roupa contaminada. Lave-a antes de usar novamente.</w:t>
      </w:r>
    </w:p>
    <w:p w14:paraId="2F5EB2AE" w14:textId="77777777" w:rsidR="00647559" w:rsidRDefault="00647559" w:rsidP="00647559">
      <w:pPr>
        <w:spacing w:line="360" w:lineRule="auto"/>
        <w:ind w:right="128"/>
        <w:jc w:val="both"/>
        <w:rPr>
          <w:rFonts w:ascii="Arial" w:hAnsi="Arial" w:cs="Arial"/>
          <w:b/>
        </w:rPr>
      </w:pPr>
      <w:r>
        <w:rPr>
          <w:rFonts w:ascii="Arial" w:hAnsi="Arial" w:cs="Arial"/>
          <w:b/>
        </w:rPr>
        <w:t xml:space="preserve">Destinação final: </w:t>
      </w:r>
      <w:r>
        <w:rPr>
          <w:rFonts w:ascii="Arial" w:hAnsi="Arial" w:cs="Arial"/>
          <w:bCs/>
        </w:rPr>
        <w:t>P501: Descarte o conteúdo/recipiente de acordo com as normas locais.</w:t>
      </w:r>
    </w:p>
    <w:p w14:paraId="5EF97987" w14:textId="77777777" w:rsidR="00647559" w:rsidRDefault="00647559" w:rsidP="00647559">
      <w:pPr>
        <w:spacing w:line="360" w:lineRule="auto"/>
        <w:ind w:right="128"/>
        <w:jc w:val="both"/>
        <w:rPr>
          <w:rFonts w:ascii="Arial" w:hAnsi="Arial" w:cs="Arial"/>
        </w:rPr>
      </w:pPr>
      <w:r>
        <w:rPr>
          <w:rFonts w:ascii="Arial" w:hAnsi="Arial" w:cs="Arial"/>
          <w:b/>
        </w:rPr>
        <w:t xml:space="preserve">2.4. Outros perigos que não resultam em uma classificação: </w:t>
      </w:r>
      <w:r>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3D95"/>
        <w:tblLook w:val="04A0" w:firstRow="1" w:lastRow="0" w:firstColumn="1" w:lastColumn="0" w:noHBand="0" w:noVBand="1"/>
      </w:tblPr>
      <w:tblGrid>
        <w:gridCol w:w="10773"/>
      </w:tblGrid>
      <w:tr w:rsidR="00FE39E8" w:rsidRPr="00FE39E8" w14:paraId="4EBDD571" w14:textId="77777777" w:rsidTr="00FE39E8">
        <w:tc>
          <w:tcPr>
            <w:tcW w:w="10773" w:type="dxa"/>
            <w:shd w:val="clear" w:color="auto" w:fill="1B3D95"/>
          </w:tcPr>
          <w:p w14:paraId="11358F0E" w14:textId="77777777" w:rsidR="000A7913" w:rsidRPr="00FE39E8"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FE39E8">
              <w:rPr>
                <w:rFonts w:ascii="Arial" w:hAnsi="Arial" w:cs="Arial"/>
                <w:b/>
                <w:color w:val="FFFFFF" w:themeColor="background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1C1BAEA8"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2589FAF6" w:rsidR="00AB6E25" w:rsidRPr="00B97A17" w:rsidRDefault="0007379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00320B0B">
              <w:rPr>
                <w:rFonts w:ascii="Arial" w:hAnsi="Arial" w:cs="Arial"/>
                <w:bCs/>
                <w:sz w:val="18"/>
                <w:szCs w:val="18"/>
              </w:rPr>
              <w:t xml:space="preserve">0,0 – </w:t>
            </w:r>
            <w:r>
              <w:rPr>
                <w:rFonts w:ascii="Arial" w:hAnsi="Arial" w:cs="Arial"/>
                <w:bCs/>
                <w:sz w:val="18"/>
                <w:szCs w:val="18"/>
              </w:rPr>
              <w:t>50</w:t>
            </w:r>
            <w:r w:rsidR="00320B0B">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F57E9" w:rsidRPr="00673589" w14:paraId="536BF5F9"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B5CBA9E" w14:textId="3B12D721" w:rsidR="00DF57E9" w:rsidRDefault="00DF57E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F700322" w14:textId="7889A210" w:rsidR="00DF57E9" w:rsidRDefault="00DF57E9" w:rsidP="00B06D60">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sidRPr="00DF57E9">
              <w:rPr>
                <w:rFonts w:ascii="Arial" w:eastAsia="Roboto" w:hAnsi="Arial" w:cs="Arial"/>
                <w:bCs/>
                <w:color w:val="0B0C0C"/>
                <w:sz w:val="18"/>
                <w:szCs w:val="18"/>
              </w:rPr>
              <w:t>74869-22-0</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73510FC" w14:textId="372D6AD8" w:rsidR="00DF57E9" w:rsidRDefault="00073790"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35,0 – 45,0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9D96105" w14:textId="50728056" w:rsidR="00DF57E9" w:rsidRPr="002C432A" w:rsidRDefault="00073790"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62AD988B" w:rsidR="00AB6E25" w:rsidRPr="00B97A17" w:rsidRDefault="00320B0B"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1</w:t>
            </w:r>
            <w:r w:rsidR="008340C1">
              <w:rPr>
                <w:rFonts w:ascii="Arial" w:hAnsi="Arial" w:cs="Arial"/>
                <w:bCs/>
                <w:sz w:val="18"/>
                <w:szCs w:val="18"/>
              </w:rPr>
              <w:t>,0</w:t>
            </w:r>
            <w:r w:rsidR="005A56A1">
              <w:rPr>
                <w:rFonts w:ascii="Arial" w:hAnsi="Arial" w:cs="Arial"/>
                <w:bCs/>
                <w:sz w:val="18"/>
                <w:szCs w:val="18"/>
              </w:rPr>
              <w:t xml:space="preserve"> </w:t>
            </w:r>
            <w:r w:rsidR="00A6429C">
              <w:rPr>
                <w:rFonts w:ascii="Arial" w:hAnsi="Arial" w:cs="Arial"/>
                <w:bCs/>
                <w:sz w:val="18"/>
                <w:szCs w:val="18"/>
              </w:rPr>
              <w:t>–</w:t>
            </w:r>
            <w:r w:rsidR="00C82D34">
              <w:rPr>
                <w:rFonts w:ascii="Arial" w:hAnsi="Arial" w:cs="Arial"/>
                <w:bCs/>
                <w:sz w:val="18"/>
                <w:szCs w:val="18"/>
              </w:rPr>
              <w:t xml:space="preserve"> </w:t>
            </w:r>
            <w:r>
              <w:rPr>
                <w:rFonts w:ascii="Arial" w:hAnsi="Arial" w:cs="Arial"/>
                <w:bCs/>
                <w:sz w:val="18"/>
                <w:szCs w:val="18"/>
              </w:rPr>
              <w:t>5</w:t>
            </w:r>
            <w:r w:rsidR="00A6429C">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B7EB0D" w14:textId="77777777" w:rsidR="00647559" w:rsidRPr="00647559" w:rsidRDefault="00647559" w:rsidP="00647559">
            <w:pPr>
              <w:widowControl w:val="0"/>
              <w:pBdr>
                <w:top w:val="nil"/>
                <w:left w:val="nil"/>
                <w:bottom w:val="nil"/>
                <w:right w:val="nil"/>
                <w:between w:val="nil"/>
              </w:pBdr>
              <w:spacing w:after="0" w:line="276" w:lineRule="auto"/>
              <w:ind w:right="128"/>
              <w:rPr>
                <w:rFonts w:ascii="Arial" w:hAnsi="Arial" w:cs="Arial"/>
                <w:bCs/>
                <w:sz w:val="18"/>
                <w:szCs w:val="18"/>
              </w:rPr>
            </w:pPr>
            <w:r w:rsidRPr="00647559">
              <w:rPr>
                <w:rFonts w:ascii="Arial" w:hAnsi="Arial" w:cs="Arial"/>
                <w:bCs/>
                <w:sz w:val="18"/>
                <w:szCs w:val="18"/>
              </w:rPr>
              <w:t>Corr. Pele – Cat 3, H316</w:t>
            </w:r>
          </w:p>
          <w:p w14:paraId="7FC12F61" w14:textId="77777777" w:rsidR="00647559" w:rsidRPr="00647559" w:rsidRDefault="00647559" w:rsidP="00647559">
            <w:pPr>
              <w:widowControl w:val="0"/>
              <w:pBdr>
                <w:top w:val="nil"/>
                <w:left w:val="nil"/>
                <w:bottom w:val="nil"/>
                <w:right w:val="nil"/>
                <w:between w:val="nil"/>
              </w:pBdr>
              <w:spacing w:after="0" w:line="276" w:lineRule="auto"/>
              <w:ind w:right="128"/>
              <w:rPr>
                <w:rFonts w:ascii="Arial" w:hAnsi="Arial" w:cs="Arial"/>
                <w:bCs/>
                <w:sz w:val="18"/>
                <w:szCs w:val="18"/>
              </w:rPr>
            </w:pPr>
            <w:r w:rsidRPr="00647559">
              <w:rPr>
                <w:rFonts w:ascii="Arial" w:hAnsi="Arial" w:cs="Arial"/>
                <w:bCs/>
                <w:sz w:val="18"/>
                <w:szCs w:val="18"/>
              </w:rPr>
              <w:t xml:space="preserve">Sens. Pele – Cat 1, H317 </w:t>
            </w:r>
          </w:p>
          <w:p w14:paraId="31439E64" w14:textId="77777777" w:rsidR="00647559" w:rsidRPr="00647559" w:rsidRDefault="00647559" w:rsidP="00647559">
            <w:pPr>
              <w:widowControl w:val="0"/>
              <w:pBdr>
                <w:top w:val="nil"/>
                <w:left w:val="nil"/>
                <w:bottom w:val="nil"/>
                <w:right w:val="nil"/>
                <w:between w:val="nil"/>
              </w:pBdr>
              <w:spacing w:after="0" w:line="276" w:lineRule="auto"/>
              <w:ind w:right="128"/>
              <w:rPr>
                <w:rFonts w:ascii="Arial" w:hAnsi="Arial" w:cs="Arial"/>
                <w:bCs/>
                <w:sz w:val="18"/>
                <w:szCs w:val="18"/>
              </w:rPr>
            </w:pPr>
            <w:r w:rsidRPr="00647559">
              <w:rPr>
                <w:rFonts w:ascii="Arial" w:hAnsi="Arial" w:cs="Arial"/>
                <w:bCs/>
                <w:sz w:val="18"/>
                <w:szCs w:val="18"/>
              </w:rPr>
              <w:t>Aquát. Agudo – Cat. 1, H400</w:t>
            </w:r>
          </w:p>
          <w:p w14:paraId="4932796D" w14:textId="0A202970" w:rsidR="00800FE7" w:rsidRPr="00B97A17" w:rsidRDefault="00647559" w:rsidP="00647559">
            <w:pPr>
              <w:widowControl w:val="0"/>
              <w:pBdr>
                <w:top w:val="nil"/>
                <w:left w:val="nil"/>
                <w:bottom w:val="nil"/>
                <w:right w:val="nil"/>
                <w:between w:val="nil"/>
              </w:pBdr>
              <w:spacing w:after="0" w:line="276" w:lineRule="auto"/>
              <w:ind w:right="128"/>
              <w:rPr>
                <w:rFonts w:ascii="Arial" w:hAnsi="Arial" w:cs="Arial"/>
                <w:bCs/>
                <w:sz w:val="18"/>
                <w:szCs w:val="18"/>
              </w:rPr>
            </w:pPr>
            <w:r w:rsidRPr="00647559">
              <w:rPr>
                <w:rFonts w:ascii="Arial" w:hAnsi="Arial" w:cs="Arial"/>
                <w:bCs/>
                <w:sz w:val="18"/>
                <w:szCs w:val="18"/>
              </w:rPr>
              <w:t>Aquát. Crônico – Cat. 1, H410</w:t>
            </w:r>
          </w:p>
        </w:tc>
      </w:tr>
    </w:tbl>
    <w:p w14:paraId="74E1C4F0" w14:textId="77777777" w:rsidR="00344B19" w:rsidRPr="00305A55" w:rsidRDefault="00344B19" w:rsidP="00B06D60">
      <w:pPr>
        <w:spacing w:line="360" w:lineRule="auto"/>
        <w:ind w:right="128"/>
        <w:jc w:val="both"/>
        <w:rPr>
          <w:rFonts w:ascii="Arial" w:hAnsi="Arial" w:cs="Arial"/>
          <w:b/>
          <w:sz w:val="6"/>
          <w:szCs w:val="6"/>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16B399EE" w14:textId="3DDBB817" w:rsidR="0064755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FE39E8">
        <w:tc>
          <w:tcPr>
            <w:tcW w:w="10773" w:type="dxa"/>
            <w:shd w:val="clear" w:color="auto" w:fill="1B3D95"/>
          </w:tcPr>
          <w:p w14:paraId="116F88E0" w14:textId="77777777" w:rsidR="000A7913" w:rsidRPr="00FE39E8"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lastRenderedPageBreak/>
              <w:t>MEDIDAS DE PRIMEIROS SOCORROS</w:t>
            </w:r>
          </w:p>
        </w:tc>
      </w:tr>
    </w:tbl>
    <w:p w14:paraId="5778AB1A" w14:textId="77777777" w:rsidR="000A7913" w:rsidRPr="00A6429C" w:rsidRDefault="000A7913" w:rsidP="00B06D60">
      <w:pPr>
        <w:tabs>
          <w:tab w:val="left" w:pos="5025"/>
        </w:tabs>
        <w:ind w:right="128"/>
        <w:jc w:val="both"/>
        <w:rPr>
          <w:rFonts w:ascii="Arial" w:hAnsi="Arial" w:cs="Arial"/>
          <w:sz w:val="12"/>
          <w:szCs w:val="12"/>
        </w:rPr>
      </w:pPr>
    </w:p>
    <w:p w14:paraId="0C64BC02" w14:textId="0909F6E9" w:rsidR="00344B19" w:rsidRPr="00305A55" w:rsidRDefault="00305A55" w:rsidP="00305A55">
      <w:pPr>
        <w:spacing w:line="360" w:lineRule="auto"/>
        <w:ind w:right="128"/>
        <w:jc w:val="both"/>
        <w:rPr>
          <w:rFonts w:ascii="Arial" w:hAnsi="Arial" w:cs="Arial"/>
        </w:rPr>
      </w:pPr>
      <w:r>
        <w:rPr>
          <w:rFonts w:ascii="Arial" w:hAnsi="Arial" w:cs="Arial"/>
          <w:b/>
        </w:rPr>
        <w:t xml:space="preserve">4.1. </w:t>
      </w:r>
      <w:r w:rsidR="00673589" w:rsidRPr="00305A55">
        <w:rPr>
          <w:rFonts w:ascii="Arial" w:hAnsi="Arial" w:cs="Arial"/>
          <w:b/>
        </w:rPr>
        <w:t xml:space="preserve">Sintomas/efeitos mais importantes, agudos ou tardios: </w:t>
      </w:r>
      <w:r w:rsidR="00673589" w:rsidRPr="00305A55">
        <w:rPr>
          <w:rFonts w:ascii="Arial" w:hAnsi="Arial" w:cs="Arial"/>
        </w:rPr>
        <w:t>Não é esperado que o produto provoque algum perigo em condições normais de uso.</w:t>
      </w:r>
    </w:p>
    <w:p w14:paraId="132A6F60" w14:textId="2D30FBE7" w:rsidR="00305A55" w:rsidRPr="0061630F"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3D95"/>
        <w:tblLook w:val="04A0" w:firstRow="1" w:lastRow="0" w:firstColumn="1" w:lastColumn="0" w:noHBand="0" w:noVBand="1"/>
      </w:tblPr>
      <w:tblGrid>
        <w:gridCol w:w="10773"/>
      </w:tblGrid>
      <w:tr w:rsidR="00FE39E8" w:rsidRPr="00FE39E8" w14:paraId="15CC352D" w14:textId="77777777" w:rsidTr="00FE39E8">
        <w:tc>
          <w:tcPr>
            <w:tcW w:w="10773" w:type="dxa"/>
            <w:shd w:val="clear" w:color="auto" w:fill="1B3D95"/>
          </w:tcPr>
          <w:p w14:paraId="634CD675" w14:textId="77777777" w:rsidR="000A7913" w:rsidRPr="00FE39E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Halon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7B871B7B" w:rsid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61630F">
        <w:rPr>
          <w:rFonts w:ascii="Arial" w:hAnsi="Arial" w:cs="Arial"/>
        </w:rPr>
        <w:t>.</w:t>
      </w:r>
    </w:p>
    <w:p w14:paraId="3BFBD531" w14:textId="0E121F24" w:rsidR="00344B19"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6A366B43" w14:textId="77777777" w:rsidR="00647559" w:rsidRDefault="00647559"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3D95"/>
        <w:tblLook w:val="04A0" w:firstRow="1" w:lastRow="0" w:firstColumn="1" w:lastColumn="0" w:noHBand="0" w:noVBand="1"/>
      </w:tblPr>
      <w:tblGrid>
        <w:gridCol w:w="10773"/>
      </w:tblGrid>
      <w:tr w:rsidR="00FE39E8" w:rsidRPr="00FE39E8" w14:paraId="70285644" w14:textId="77777777" w:rsidTr="00FE39E8">
        <w:tc>
          <w:tcPr>
            <w:tcW w:w="10773" w:type="dxa"/>
            <w:shd w:val="clear" w:color="auto" w:fill="1B3D95"/>
          </w:tcPr>
          <w:p w14:paraId="3E12BEA3" w14:textId="77777777" w:rsidR="000A7913" w:rsidRPr="00FE39E8"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MEDIDAS DE CONTROLE PARA DERRAMAMENTO / VAZAMENTO</w:t>
            </w:r>
          </w:p>
        </w:tc>
      </w:tr>
    </w:tbl>
    <w:p w14:paraId="568273DA" w14:textId="77777777" w:rsidR="003F0640" w:rsidRPr="00647559" w:rsidRDefault="003F0640" w:rsidP="00B06D60">
      <w:pPr>
        <w:tabs>
          <w:tab w:val="left" w:pos="5025"/>
        </w:tabs>
        <w:ind w:right="128"/>
        <w:jc w:val="both"/>
        <w:rPr>
          <w:rFonts w:ascii="Arial" w:hAnsi="Arial" w:cs="Arial"/>
          <w:sz w:val="2"/>
          <w:szCs w:val="2"/>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FE39E8">
        <w:tc>
          <w:tcPr>
            <w:tcW w:w="10773" w:type="dxa"/>
            <w:tcBorders>
              <w:top w:val="nil"/>
              <w:left w:val="nil"/>
              <w:bottom w:val="nil"/>
              <w:right w:val="nil"/>
            </w:tcBorders>
            <w:shd w:val="clear" w:color="auto" w:fill="1B3D95"/>
          </w:tcPr>
          <w:p w14:paraId="5BE987DF" w14:textId="77777777" w:rsidR="003F0640" w:rsidRPr="00FE39E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MANUSEIO E ARMAZENAMENTO</w:t>
            </w:r>
          </w:p>
        </w:tc>
      </w:tr>
    </w:tbl>
    <w:p w14:paraId="25271F40" w14:textId="77777777" w:rsidR="00062A55" w:rsidRPr="0061630F" w:rsidRDefault="00062A55" w:rsidP="00B06D60">
      <w:pPr>
        <w:tabs>
          <w:tab w:val="left" w:pos="5025"/>
        </w:tabs>
        <w:ind w:right="128"/>
        <w:jc w:val="both"/>
        <w:rPr>
          <w:rFonts w:ascii="Arial" w:hAnsi="Arial" w:cs="Arial"/>
          <w:sz w:val="4"/>
          <w:szCs w:val="4"/>
        </w:rPr>
      </w:pPr>
    </w:p>
    <w:p w14:paraId="13894ED8" w14:textId="09363AE4" w:rsidR="00344B19"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7545D4E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FE39E8">
        <w:tc>
          <w:tcPr>
            <w:tcW w:w="10773" w:type="dxa"/>
            <w:tcBorders>
              <w:top w:val="nil"/>
              <w:left w:val="nil"/>
              <w:bottom w:val="nil"/>
              <w:right w:val="nil"/>
            </w:tcBorders>
            <w:shd w:val="clear" w:color="auto" w:fill="1B3D95"/>
          </w:tcPr>
          <w:p w14:paraId="307B99F9" w14:textId="77777777" w:rsidR="003F0640" w:rsidRPr="00FE39E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9C256E" w:rsidRDefault="005725A6" w:rsidP="00B06D60">
            <w:pPr>
              <w:tabs>
                <w:tab w:val="left" w:pos="5025"/>
              </w:tabs>
              <w:ind w:right="128"/>
              <w:rPr>
                <w:rFonts w:ascii="Arial" w:hAnsi="Arial" w:cs="Arial"/>
                <w:lang w:val="en-US"/>
              </w:rPr>
            </w:pPr>
            <w:r w:rsidRPr="009C256E">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3BA7D250"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303C1CC8" w14:textId="77777777" w:rsidR="00566CE0" w:rsidRPr="00BE3E0F" w:rsidRDefault="00566CE0" w:rsidP="00B06D60">
      <w:pPr>
        <w:tabs>
          <w:tab w:val="left" w:pos="5025"/>
        </w:tabs>
        <w:ind w:right="128"/>
        <w:jc w:val="both"/>
        <w:rPr>
          <w:rFonts w:ascii="Arial" w:hAnsi="Arial" w:cs="Arial"/>
          <w:sz w:val="2"/>
          <w:szCs w:val="2"/>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59EC2689" w:rsidR="0061630F"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BE3E0F" w:rsidRDefault="00062A55" w:rsidP="00B06D60">
      <w:pPr>
        <w:tabs>
          <w:tab w:val="left" w:pos="5025"/>
        </w:tabs>
        <w:ind w:right="128"/>
        <w:jc w:val="both"/>
        <w:rPr>
          <w:rFonts w:ascii="Arial" w:hAnsi="Arial" w:cs="Arial"/>
          <w:sz w:val="16"/>
          <w:szCs w:val="16"/>
        </w:rPr>
      </w:pPr>
    </w:p>
    <w:p w14:paraId="7DAA0D23" w14:textId="77777777" w:rsidR="00647559" w:rsidRDefault="00647559" w:rsidP="00B06D60">
      <w:pPr>
        <w:tabs>
          <w:tab w:val="left" w:pos="5025"/>
        </w:tabs>
        <w:ind w:right="128"/>
        <w:jc w:val="both"/>
        <w:rPr>
          <w:rFonts w:ascii="Arial" w:hAnsi="Arial" w:cs="Arial"/>
          <w:b/>
          <w:bCs/>
          <w:sz w:val="24"/>
          <w:szCs w:val="24"/>
        </w:rPr>
      </w:pPr>
    </w:p>
    <w:p w14:paraId="7508CF9B" w14:textId="52F43535"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48D43CB1" w:rsidR="008E0044" w:rsidRPr="00344B19"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acomgrade"/>
        <w:tblW w:w="10773" w:type="dxa"/>
        <w:tblLook w:val="04A0" w:firstRow="1" w:lastRow="0" w:firstColumn="1" w:lastColumn="0" w:noHBand="0" w:noVBand="1"/>
      </w:tblPr>
      <w:tblGrid>
        <w:gridCol w:w="10773"/>
      </w:tblGrid>
      <w:tr w:rsidR="003F0640" w14:paraId="71437B5D" w14:textId="77777777" w:rsidTr="00FE39E8">
        <w:tc>
          <w:tcPr>
            <w:tcW w:w="10773" w:type="dxa"/>
            <w:tcBorders>
              <w:top w:val="nil"/>
              <w:left w:val="nil"/>
              <w:bottom w:val="nil"/>
              <w:right w:val="nil"/>
            </w:tcBorders>
            <w:shd w:val="clear" w:color="auto" w:fill="1B3D95"/>
          </w:tcPr>
          <w:p w14:paraId="6B2E7B77" w14:textId="77777777" w:rsidR="003F0640" w:rsidRPr="00FE39E8"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Estado físico:</w:t>
      </w:r>
      <w:r w:rsidRPr="00BE3E0F">
        <w:rPr>
          <w:rFonts w:ascii="Arial" w:hAnsi="Arial" w:cs="Arial"/>
        </w:rPr>
        <w:t xml:space="preserve"> Líquido</w:t>
      </w:r>
    </w:p>
    <w:p w14:paraId="32C273D4" w14:textId="09F4C83F" w:rsidR="004D1CE4" w:rsidRPr="00BE3E0F" w:rsidRDefault="004D1CE4" w:rsidP="00BE3E0F">
      <w:pPr>
        <w:spacing w:after="0" w:line="360" w:lineRule="auto"/>
        <w:ind w:right="128"/>
        <w:jc w:val="both"/>
        <w:rPr>
          <w:rFonts w:ascii="Arial" w:hAnsi="Arial" w:cs="Arial"/>
          <w:bCs/>
        </w:rPr>
      </w:pPr>
      <w:r w:rsidRPr="00BE3E0F">
        <w:rPr>
          <w:rFonts w:ascii="Arial" w:hAnsi="Arial" w:cs="Arial"/>
          <w:b/>
        </w:rPr>
        <w:t>Cor</w:t>
      </w:r>
      <w:r w:rsidR="00C03B69" w:rsidRPr="00BE3E0F">
        <w:rPr>
          <w:rFonts w:ascii="Arial" w:hAnsi="Arial" w:cs="Arial"/>
          <w:b/>
        </w:rPr>
        <w:t xml:space="preserve"> (visual)</w:t>
      </w:r>
      <w:r w:rsidRPr="00BE3E0F">
        <w:rPr>
          <w:rFonts w:ascii="Arial" w:hAnsi="Arial" w:cs="Arial"/>
          <w:b/>
        </w:rPr>
        <w:t>:</w:t>
      </w:r>
      <w:r w:rsidR="00C03B69" w:rsidRPr="00BE3E0F">
        <w:rPr>
          <w:rFonts w:ascii="Arial" w:hAnsi="Arial" w:cs="Arial"/>
          <w:bCs/>
        </w:rPr>
        <w:t xml:space="preserve"> </w:t>
      </w:r>
      <w:r w:rsidR="00F83A40">
        <w:rPr>
          <w:rFonts w:ascii="Arial" w:hAnsi="Arial" w:cs="Arial"/>
          <w:bCs/>
        </w:rPr>
        <w:t>Castanho</w:t>
      </w:r>
    </w:p>
    <w:p w14:paraId="68E25033"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Odor:</w:t>
      </w:r>
      <w:r w:rsidRPr="00BE3E0F">
        <w:rPr>
          <w:rFonts w:ascii="Arial" w:hAnsi="Arial" w:cs="Arial"/>
        </w:rPr>
        <w:t xml:space="preserve"> Característico a óleo lubrificante. </w:t>
      </w:r>
    </w:p>
    <w:p w14:paraId="4D2B999B" w14:textId="1912C306"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Ponto de fusão/ponto de congelamento: </w:t>
      </w:r>
      <w:r w:rsidR="00EE74BA" w:rsidRPr="00772278">
        <w:rPr>
          <w:rFonts w:ascii="Arial" w:hAnsi="Arial" w:cs="Arial"/>
        </w:rPr>
        <w:t>-12 °C</w:t>
      </w:r>
    </w:p>
    <w:p w14:paraId="1CB0AA6D" w14:textId="30660A40"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Ponto de ebulição ou ponto de ebulição inicial e faixa de ebulição: </w:t>
      </w:r>
      <w:r w:rsidR="005B198F" w:rsidRPr="00BE3E0F">
        <w:rPr>
          <w:rFonts w:ascii="Arial" w:hAnsi="Arial" w:cs="Arial"/>
          <w:bCs/>
        </w:rPr>
        <w:t>Não há dados disponíveis.</w:t>
      </w:r>
    </w:p>
    <w:p w14:paraId="4086C647"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Inflamabilidade: </w:t>
      </w:r>
      <w:r w:rsidRPr="00BE3E0F">
        <w:rPr>
          <w:rFonts w:ascii="Arial" w:hAnsi="Arial" w:cs="Arial"/>
        </w:rPr>
        <w:t>Não inflamável se utilizado nas condições recomendadas.</w:t>
      </w:r>
    </w:p>
    <w:p w14:paraId="0D7171DB"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Limite inferior de inflamabilidade ou explosividade: </w:t>
      </w:r>
      <w:r w:rsidRPr="00BE3E0F">
        <w:rPr>
          <w:rFonts w:ascii="Arial" w:hAnsi="Arial" w:cs="Arial"/>
        </w:rPr>
        <w:t>Não existem grupos químicos associados às propriedades explosivas presentes na mistura.</w:t>
      </w:r>
    </w:p>
    <w:p w14:paraId="54298C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Limite superior de inflamabilidade ou explosividade: </w:t>
      </w:r>
      <w:r w:rsidRPr="00BE3E0F">
        <w:rPr>
          <w:rFonts w:ascii="Arial" w:hAnsi="Arial" w:cs="Arial"/>
        </w:rPr>
        <w:t>Não existem grupos químicos associados às propriedades explosivas presentes na mistura.</w:t>
      </w:r>
    </w:p>
    <w:p w14:paraId="590AFDFE" w14:textId="6CD8E884" w:rsidR="004D1CE4" w:rsidRPr="00BE3E0F" w:rsidRDefault="004D1CE4" w:rsidP="00BE3E0F">
      <w:pPr>
        <w:spacing w:after="0" w:line="360" w:lineRule="auto"/>
        <w:ind w:right="128"/>
        <w:jc w:val="both"/>
        <w:rPr>
          <w:rFonts w:ascii="Arial" w:hAnsi="Arial" w:cs="Arial"/>
          <w:b/>
        </w:rPr>
      </w:pPr>
      <w:r w:rsidRPr="00BE3E0F">
        <w:rPr>
          <w:rFonts w:ascii="Arial" w:hAnsi="Arial" w:cs="Arial"/>
          <w:b/>
        </w:rPr>
        <w:t>Ponto de fulgor:</w:t>
      </w:r>
      <w:r w:rsidR="005B198F" w:rsidRPr="00BE3E0F">
        <w:rPr>
          <w:rFonts w:ascii="Arial" w:hAnsi="Arial" w:cs="Arial"/>
          <w:b/>
        </w:rPr>
        <w:t xml:space="preserve"> </w:t>
      </w:r>
      <w:r w:rsidR="005B198F" w:rsidRPr="00BE3E0F">
        <w:rPr>
          <w:rFonts w:ascii="Arial" w:hAnsi="Arial" w:cs="Arial"/>
          <w:bCs/>
        </w:rPr>
        <w:t xml:space="preserve">Típico </w:t>
      </w:r>
      <w:r w:rsidR="005C5167">
        <w:rPr>
          <w:rFonts w:ascii="Arial" w:hAnsi="Arial" w:cs="Arial"/>
          <w:bCs/>
        </w:rPr>
        <w:t>228</w:t>
      </w:r>
      <w:r w:rsidR="00EE74BA">
        <w:rPr>
          <w:rFonts w:ascii="Arial" w:hAnsi="Arial" w:cs="Arial"/>
          <w:bCs/>
        </w:rPr>
        <w:t xml:space="preserve"> </w:t>
      </w:r>
      <w:r w:rsidR="005B198F" w:rsidRPr="00BE3E0F">
        <w:rPr>
          <w:rFonts w:ascii="Arial" w:hAnsi="Arial" w:cs="Arial"/>
          <w:bCs/>
        </w:rPr>
        <w:t>°C</w:t>
      </w:r>
      <w:r w:rsidR="008E0044" w:rsidRPr="00BE3E0F">
        <w:rPr>
          <w:rFonts w:ascii="Arial" w:hAnsi="Arial" w:cs="Arial"/>
          <w:bCs/>
        </w:rPr>
        <w:t>.</w:t>
      </w:r>
    </w:p>
    <w:p w14:paraId="15BEE699"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Temperatura de autoignição: </w:t>
      </w:r>
      <w:r w:rsidRPr="00BE3E0F">
        <w:rPr>
          <w:rFonts w:ascii="Arial" w:hAnsi="Arial" w:cs="Arial"/>
        </w:rPr>
        <w:t>A substância não entra em autoignição.</w:t>
      </w:r>
    </w:p>
    <w:p w14:paraId="57A12F95" w14:textId="77777777" w:rsidR="004D1CE4" w:rsidRPr="00BE3E0F" w:rsidRDefault="004D1CE4" w:rsidP="00BE3E0F">
      <w:pPr>
        <w:spacing w:after="0" w:line="360" w:lineRule="auto"/>
        <w:ind w:right="128"/>
        <w:jc w:val="both"/>
        <w:rPr>
          <w:rFonts w:ascii="Arial" w:hAnsi="Arial" w:cs="Arial"/>
          <w:b/>
          <w:color w:val="FF0000"/>
        </w:rPr>
      </w:pPr>
      <w:r w:rsidRPr="00BE3E0F">
        <w:rPr>
          <w:rFonts w:ascii="Arial" w:hAnsi="Arial" w:cs="Arial"/>
          <w:b/>
        </w:rPr>
        <w:t>Temperatura de decomposição:</w:t>
      </w:r>
      <w:r w:rsidRPr="00BE3E0F">
        <w:rPr>
          <w:rFonts w:ascii="Arial" w:hAnsi="Arial" w:cs="Arial"/>
        </w:rPr>
        <w:t xml:space="preserve"> Não há dados disponíveis.</w:t>
      </w:r>
    </w:p>
    <w:p w14:paraId="5DAB4337"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pH: </w:t>
      </w:r>
      <w:r w:rsidRPr="00BE3E0F">
        <w:rPr>
          <w:rFonts w:ascii="Arial" w:hAnsi="Arial" w:cs="Arial"/>
        </w:rPr>
        <w:t>Não há dados disponíveis.</w:t>
      </w:r>
    </w:p>
    <w:p w14:paraId="0E3E77E4" w14:textId="0C3FBD08"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40° C: </w:t>
      </w:r>
      <w:r w:rsidRPr="00BE3E0F">
        <w:rPr>
          <w:rFonts w:ascii="Arial" w:hAnsi="Arial" w:cs="Arial"/>
          <w:bCs/>
        </w:rPr>
        <w:t>Típico</w:t>
      </w:r>
      <w:r w:rsidR="00120E68" w:rsidRPr="00BE3E0F">
        <w:rPr>
          <w:rFonts w:ascii="Arial" w:hAnsi="Arial" w:cs="Arial"/>
          <w:bCs/>
        </w:rPr>
        <w:t xml:space="preserve"> </w:t>
      </w:r>
      <w:r w:rsidR="005C5167">
        <w:rPr>
          <w:rFonts w:ascii="Arial" w:hAnsi="Arial" w:cs="Arial"/>
          <w:bCs/>
        </w:rPr>
        <w:t>135,7</w:t>
      </w:r>
      <w:r w:rsidR="00120E68" w:rsidRPr="00BE3E0F">
        <w:rPr>
          <w:rFonts w:ascii="Arial" w:hAnsi="Arial" w:cs="Arial"/>
          <w:bCs/>
        </w:rPr>
        <w:t>cSt</w:t>
      </w:r>
    </w:p>
    <w:p w14:paraId="0D8A1051" w14:textId="0A9B6AB3"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Viscosidade cinemática a 100° C: </w:t>
      </w:r>
      <w:r w:rsidRPr="00BE3E0F">
        <w:rPr>
          <w:rFonts w:ascii="Arial" w:hAnsi="Arial" w:cs="Arial"/>
          <w:bCs/>
        </w:rPr>
        <w:t>Típico</w:t>
      </w:r>
      <w:r w:rsidR="00120E68" w:rsidRPr="00BE3E0F">
        <w:rPr>
          <w:rFonts w:ascii="Arial" w:hAnsi="Arial" w:cs="Arial"/>
          <w:bCs/>
        </w:rPr>
        <w:t xml:space="preserve"> </w:t>
      </w:r>
      <w:r w:rsidR="00EE74BA">
        <w:rPr>
          <w:rFonts w:ascii="Arial" w:hAnsi="Arial" w:cs="Arial"/>
          <w:bCs/>
        </w:rPr>
        <w:t>14,</w:t>
      </w:r>
      <w:r w:rsidR="005C5167">
        <w:rPr>
          <w:rFonts w:ascii="Arial" w:hAnsi="Arial" w:cs="Arial"/>
          <w:bCs/>
        </w:rPr>
        <w:t>59</w:t>
      </w:r>
      <w:r w:rsidR="00EE74BA">
        <w:rPr>
          <w:rFonts w:ascii="Arial" w:hAnsi="Arial" w:cs="Arial"/>
          <w:bCs/>
        </w:rPr>
        <w:t xml:space="preserve"> </w:t>
      </w:r>
      <w:r w:rsidR="00120E68" w:rsidRPr="00BE3E0F">
        <w:rPr>
          <w:rFonts w:ascii="Arial" w:hAnsi="Arial" w:cs="Arial"/>
          <w:bCs/>
        </w:rPr>
        <w:t>cSt</w:t>
      </w:r>
    </w:p>
    <w:p w14:paraId="04A0A688" w14:textId="77777777"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Solubilidade em água: </w:t>
      </w:r>
      <w:r w:rsidRPr="00BE3E0F">
        <w:rPr>
          <w:rFonts w:ascii="Arial" w:hAnsi="Arial" w:cs="Arial"/>
        </w:rPr>
        <w:t>Insolúvel.</w:t>
      </w:r>
    </w:p>
    <w:p w14:paraId="22215E3D" w14:textId="16B5500A" w:rsidR="004D1CE4" w:rsidRPr="00BE3E0F" w:rsidRDefault="004D1CE4" w:rsidP="00BE3E0F">
      <w:pPr>
        <w:spacing w:after="0" w:line="360" w:lineRule="auto"/>
        <w:ind w:right="128"/>
        <w:jc w:val="both"/>
        <w:rPr>
          <w:rFonts w:ascii="Arial" w:hAnsi="Arial" w:cs="Arial"/>
        </w:rPr>
      </w:pPr>
      <w:r w:rsidRPr="00BE3E0F">
        <w:rPr>
          <w:rFonts w:ascii="Arial" w:hAnsi="Arial" w:cs="Arial"/>
          <w:b/>
        </w:rPr>
        <w:t xml:space="preserve">Coeficiente de partição - n-octanol/água (valor do log de Kow): </w:t>
      </w:r>
      <w:r w:rsidR="00444605" w:rsidRPr="00BE3E0F">
        <w:rPr>
          <w:rFonts w:ascii="Arial" w:hAnsi="Arial" w:cs="Arial"/>
          <w:bCs/>
        </w:rPr>
        <w:t>Não há dados disponíveis.</w:t>
      </w:r>
    </w:p>
    <w:p w14:paraId="752911CA" w14:textId="77777777" w:rsidR="004D1CE4" w:rsidRPr="00BE3E0F" w:rsidRDefault="004D1CE4" w:rsidP="00BE3E0F">
      <w:pPr>
        <w:spacing w:after="0" w:line="360" w:lineRule="auto"/>
        <w:ind w:right="128"/>
        <w:jc w:val="both"/>
        <w:rPr>
          <w:rFonts w:ascii="Arial" w:hAnsi="Arial" w:cs="Arial"/>
          <w:b/>
        </w:rPr>
      </w:pPr>
      <w:r w:rsidRPr="00BE3E0F">
        <w:rPr>
          <w:rFonts w:ascii="Arial" w:hAnsi="Arial" w:cs="Arial"/>
          <w:b/>
        </w:rPr>
        <w:t xml:space="preserve">Pressão de vapor: </w:t>
      </w:r>
      <w:r w:rsidRPr="00BE3E0F">
        <w:rPr>
          <w:rFonts w:ascii="Arial" w:hAnsi="Arial" w:cs="Arial"/>
        </w:rPr>
        <w:t>&lt;0,1 hPa a 20°C.</w:t>
      </w:r>
    </w:p>
    <w:p w14:paraId="7C7620B6" w14:textId="2D6AC516" w:rsidR="00344B19" w:rsidRDefault="004D1CE4" w:rsidP="00BE3E0F">
      <w:pPr>
        <w:spacing w:after="0" w:line="360" w:lineRule="auto"/>
        <w:ind w:right="128"/>
        <w:jc w:val="both"/>
        <w:rPr>
          <w:rFonts w:ascii="Arial" w:hAnsi="Arial" w:cs="Arial"/>
          <w:b/>
        </w:rPr>
      </w:pPr>
      <w:r w:rsidRPr="00BE3E0F">
        <w:rPr>
          <w:rFonts w:ascii="Arial" w:hAnsi="Arial" w:cs="Arial"/>
          <w:b/>
        </w:rPr>
        <w:t>Densidade a 20°C:</w:t>
      </w:r>
      <w:r w:rsidR="005B198F" w:rsidRPr="00BE3E0F">
        <w:rPr>
          <w:rFonts w:ascii="Arial" w:hAnsi="Arial" w:cs="Arial"/>
          <w:b/>
        </w:rPr>
        <w:t xml:space="preserve"> </w:t>
      </w:r>
      <w:r w:rsidR="005C5167">
        <w:rPr>
          <w:rFonts w:ascii="Arial" w:hAnsi="Arial" w:cs="Arial"/>
          <w:bCs/>
        </w:rPr>
        <w:t>0,883</w:t>
      </w:r>
      <w:r w:rsidR="005B198F" w:rsidRPr="00BE3E0F">
        <w:rPr>
          <w:rFonts w:ascii="Arial" w:hAnsi="Arial" w:cs="Arial"/>
          <w:bCs/>
        </w:rPr>
        <w:t xml:space="preserve"> g/cm³.</w:t>
      </w:r>
    </w:p>
    <w:p w14:paraId="3B348B86" w14:textId="69D974B6" w:rsidR="00BE3E0F" w:rsidRDefault="00BE3E0F" w:rsidP="00BE3E0F">
      <w:pPr>
        <w:spacing w:after="0" w:line="360" w:lineRule="auto"/>
        <w:ind w:right="128"/>
        <w:jc w:val="both"/>
        <w:rPr>
          <w:rFonts w:ascii="Arial" w:hAnsi="Arial" w:cs="Arial"/>
          <w:b/>
        </w:rPr>
      </w:pPr>
    </w:p>
    <w:p w14:paraId="5C9E30E5" w14:textId="1023E7A5" w:rsidR="005251DB"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FE39E8">
        <w:tc>
          <w:tcPr>
            <w:tcW w:w="10773" w:type="dxa"/>
            <w:tcBorders>
              <w:top w:val="nil"/>
              <w:left w:val="nil"/>
              <w:bottom w:val="nil"/>
              <w:right w:val="nil"/>
            </w:tcBorders>
            <w:shd w:val="clear" w:color="auto" w:fill="1B3D95"/>
          </w:tcPr>
          <w:p w14:paraId="1BC3A2C4" w14:textId="2A6C17EE" w:rsidR="003F0640" w:rsidRPr="00FE39E8"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 xml:space="preserve"> </w:t>
            </w:r>
            <w:r w:rsidR="00062A55" w:rsidRPr="00FE39E8">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7CD36165" w:rsidR="008E0044" w:rsidRPr="00344B19"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FE39E8">
        <w:tc>
          <w:tcPr>
            <w:tcW w:w="10773" w:type="dxa"/>
            <w:tcBorders>
              <w:top w:val="nil"/>
              <w:left w:val="nil"/>
              <w:bottom w:val="nil"/>
              <w:right w:val="nil"/>
            </w:tcBorders>
            <w:shd w:val="clear" w:color="auto" w:fill="1B3D95"/>
          </w:tcPr>
          <w:p w14:paraId="264C0411" w14:textId="40A7B858" w:rsidR="003F0640" w:rsidRPr="00FE39E8" w:rsidRDefault="004D1CE4" w:rsidP="00B06D60">
            <w:p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 xml:space="preserve">11. </w:t>
            </w:r>
            <w:r w:rsidR="00062A55" w:rsidRPr="00FE39E8">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foi administrada por gavagem oral a 5 ratos Sprague-Dawley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Num estudo de toxicidade dérmica aguda, grupos de coelhos brancos da Nova Zelândia foram expostos dérmicamente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A548867" w14:textId="1D8154B5" w:rsidR="00344B19" w:rsidRPr="0061630F"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980558" w:rsidRPr="00980558">
        <w:rPr>
          <w:rFonts w:ascii="Arial" w:hAnsi="Arial" w:cs="Arial"/>
        </w:rPr>
        <w:t>Provoca irritação à pele com vermelhidão, dor e ressecamento.</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693B0F02" w14:textId="14F35268"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r w:rsidR="00BE3E0F">
        <w:rPr>
          <w:rFonts w:ascii="Arial" w:hAnsi="Arial" w:cs="Arial"/>
          <w:sz w:val="18"/>
          <w:szCs w:val="18"/>
        </w:rPr>
        <w:t xml:space="preserve"> </w:t>
      </w:r>
      <w:r w:rsidRPr="00B20325">
        <w:rPr>
          <w:rFonts w:ascii="Arial" w:hAnsi="Arial" w:cs="Arial"/>
          <w:sz w:val="18"/>
          <w:szCs w:val="18"/>
        </w:rPr>
        <w:t>Lesões oculares foram observadas 24, 48 e 72 horas após a exposição e avaliações com corante de fluoresceína empregadas para cada leitura. A classificação e pontuação da irritação ocular foram realizadas de acordo com o método de Draize.</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06AD0BF5" w14:textId="77777777" w:rsidR="00647559" w:rsidRDefault="00647559" w:rsidP="00647559">
      <w:pPr>
        <w:shd w:val="clear" w:color="auto" w:fill="FFFFFF"/>
        <w:spacing w:after="140" w:line="360" w:lineRule="auto"/>
        <w:ind w:right="128"/>
        <w:jc w:val="both"/>
        <w:rPr>
          <w:rFonts w:ascii="Arial" w:hAnsi="Arial" w:cs="Arial"/>
        </w:rPr>
      </w:pPr>
      <w:r>
        <w:rPr>
          <w:rFonts w:ascii="Arial" w:hAnsi="Arial" w:cs="Arial"/>
          <w:b/>
          <w:bCs/>
        </w:rPr>
        <w:t>11.6. Sensibilização respiratória/Sensibilização da pele:</w:t>
      </w:r>
      <w:r>
        <w:rPr>
          <w:rFonts w:ascii="Arial" w:hAnsi="Arial" w:cs="Arial"/>
        </w:rPr>
        <w:t xml:space="preserve"> Produto sensibilizante da pele. Segredo Industrial contém Polisulfito de olefina – Sensibilizante da pele (Categoria 1/H317) e Ésteres de ácido alquila fósforo – Sensibilizante da pele (Categoria1/H317). Produto não é um sensibilizante respiratório.</w:t>
      </w:r>
    </w:p>
    <w:p w14:paraId="727B08D9" w14:textId="3F2F74B6" w:rsidR="00344B19" w:rsidRPr="0061630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(Hazard Communication Standard; 29 CFR 1910.1200). Esses óleos não constam na relação do relatório anual do NTP (National Toxicology Program), nem foram classificados pela IARC (International Agency for Research on Cancer)</w:t>
      </w:r>
      <w:r w:rsidR="00D37984">
        <w:rPr>
          <w:rFonts w:ascii="Arial" w:hAnsi="Arial" w:cs="Arial"/>
        </w:rPr>
        <w:t xml:space="preserve"> e </w:t>
      </w:r>
      <w:r w:rsidRPr="00BE60D1">
        <w:rPr>
          <w:rFonts w:ascii="Arial" w:hAnsi="Arial" w:cs="Arial"/>
        </w:rPr>
        <w:t>pela ACGIH (American Conference of Governmental Industrial Hygienists).</w:t>
      </w:r>
    </w:p>
    <w:p w14:paraId="6E3E2053" w14:textId="3871E706" w:rsidR="00BE3E0F" w:rsidRPr="00E1265F" w:rsidRDefault="00D37984" w:rsidP="00F309DD">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8F9A060" w14:textId="3019A178" w:rsidR="00AE7D22" w:rsidRPr="009C256E"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Uma dose única de 1000 mg/kg/dia foi administrada a grupos de 12 ratos machos e 12 fêmeas por gavagem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1E7E66FA"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61739B66"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E1265F" w:rsidRPr="00E1265F">
        <w:rPr>
          <w:rFonts w:ascii="Arial" w:hAnsi="Arial" w:cs="Arial"/>
        </w:rPr>
        <w:t>Não classificado como tóxico para órgãos-alvo específicos – Exposição repetida</w:t>
      </w:r>
      <w:r w:rsidR="00E1265F">
        <w:rPr>
          <w:rFonts w:ascii="Arial" w:hAnsi="Arial" w:cs="Arial"/>
        </w:rPr>
        <w:t>, entretanto o</w:t>
      </w:r>
      <w:r w:rsidR="00E1265F" w:rsidRPr="00E1265F">
        <w:rPr>
          <w:rFonts w:ascii="Arial" w:hAnsi="Arial" w:cs="Arial"/>
        </w:rPr>
        <w:t xml:space="preserve"> segredo industrial contido nesta mistura possui componentes de composição desconhecida, presentes em concentrações de 1,0 a 5,0%, que são classificados como Toxicidade para órgãos-alvo específicos - Exposição repetida - Categoria 2, conforme a FDS da matéria-prima.</w:t>
      </w:r>
    </w:p>
    <w:p w14:paraId="7739563F" w14:textId="770621CC" w:rsidR="005251DB"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p w14:paraId="57E57E41" w14:textId="77777777" w:rsidR="00647559" w:rsidRDefault="00647559" w:rsidP="00B06D60">
      <w:pPr>
        <w:shd w:val="clear" w:color="auto" w:fill="FFFFFF"/>
        <w:spacing w:after="140" w:line="360" w:lineRule="auto"/>
        <w:ind w:right="128"/>
        <w:jc w:val="both"/>
        <w:rPr>
          <w:rFonts w:ascii="Arial" w:hAnsi="Arial" w:cs="Arial"/>
        </w:rPr>
      </w:pPr>
    </w:p>
    <w:p w14:paraId="411DEF5D" w14:textId="77777777" w:rsidR="00647559" w:rsidRDefault="00647559" w:rsidP="00B06D60">
      <w:pPr>
        <w:shd w:val="clear" w:color="auto" w:fill="FFFFFF"/>
        <w:spacing w:after="140"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F76BDEA" w14:textId="77777777" w:rsidTr="00FE39E8">
        <w:tc>
          <w:tcPr>
            <w:tcW w:w="10773" w:type="dxa"/>
            <w:tcBorders>
              <w:top w:val="nil"/>
              <w:left w:val="nil"/>
              <w:bottom w:val="nil"/>
              <w:right w:val="nil"/>
            </w:tcBorders>
            <w:shd w:val="clear" w:color="auto" w:fill="1B3D95"/>
          </w:tcPr>
          <w:p w14:paraId="6179F9F3" w14:textId="77777777" w:rsidR="00062A55" w:rsidRPr="00FE39E8"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FE39E8">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0348C84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w:t>
      </w:r>
      <w:r w:rsidR="00BE3E0F">
        <w:rPr>
          <w:rFonts w:ascii="Arial" w:hAnsi="Arial" w:cs="Arial"/>
        </w:rPr>
        <w:t xml:space="preserve"> </w:t>
      </w:r>
      <w:r w:rsidRPr="00E6251A">
        <w:rPr>
          <w:rFonts w:ascii="Arial" w:hAnsi="Arial" w:cs="Arial"/>
        </w:rPr>
        <w:t xml:space="preserve">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03F423F5" w14:textId="77777777" w:rsidR="00647559" w:rsidRDefault="00647559" w:rsidP="00647559">
      <w:pPr>
        <w:shd w:val="clear" w:color="auto" w:fill="FFFFFF"/>
        <w:spacing w:after="140" w:line="360" w:lineRule="auto"/>
        <w:ind w:right="128"/>
        <w:jc w:val="both"/>
        <w:rPr>
          <w:rFonts w:ascii="Arial" w:hAnsi="Arial" w:cs="Arial"/>
          <w:bCs/>
        </w:rPr>
      </w:pPr>
      <w:r>
        <w:rPr>
          <w:rFonts w:ascii="Arial" w:hAnsi="Arial" w:cs="Arial"/>
          <w:b/>
        </w:rPr>
        <w:t xml:space="preserve">12.5. Ecotoxicidade: </w:t>
      </w:r>
      <w:r>
        <w:rPr>
          <w:rFonts w:ascii="Arial" w:hAnsi="Arial" w:cs="Arial"/>
          <w:bCs/>
        </w:rPr>
        <w:t>Tóxico para os organismos aquáticos, com efeitos prolongados. Segredo Industrial contém os ingredientes Fosfato de alquila, sais de alquenila amila e Ditiotiadiazol de alquila que contribuem para essa característica.</w:t>
      </w:r>
    </w:p>
    <w:p w14:paraId="02A9B3DB" w14:textId="77777777" w:rsidR="00647559" w:rsidRDefault="00647559" w:rsidP="00647559">
      <w:pPr>
        <w:shd w:val="clear" w:color="auto" w:fill="FFFFFF"/>
        <w:spacing w:after="140"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24B17F45" w14:textId="77777777" w:rsidTr="00835A6E">
        <w:tc>
          <w:tcPr>
            <w:tcW w:w="10773" w:type="dxa"/>
            <w:tcBorders>
              <w:top w:val="nil"/>
              <w:left w:val="nil"/>
              <w:bottom w:val="nil"/>
              <w:right w:val="nil"/>
            </w:tcBorders>
            <w:shd w:val="clear" w:color="auto" w:fill="1B3D95"/>
          </w:tcPr>
          <w:p w14:paraId="119538D2" w14:textId="00B2BC4E" w:rsidR="00062A55" w:rsidRPr="00835A6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35A6E">
              <w:rPr>
                <w:rFonts w:ascii="Arial" w:hAnsi="Arial" w:cs="Arial"/>
                <w:b/>
                <w:color w:val="FFFFFF" w:themeColor="background1"/>
                <w:sz w:val="24"/>
                <w:szCs w:val="24"/>
              </w:rPr>
              <w:t>CONSIDERA</w:t>
            </w:r>
            <w:r w:rsidR="00301FAA" w:rsidRPr="00835A6E">
              <w:rPr>
                <w:rFonts w:ascii="Arial" w:hAnsi="Arial" w:cs="Arial"/>
                <w:b/>
                <w:color w:val="FFFFFF" w:themeColor="background1"/>
                <w:sz w:val="24"/>
                <w:szCs w:val="24"/>
              </w:rPr>
              <w:t>ÇÕES</w:t>
            </w:r>
            <w:r w:rsidRPr="00835A6E">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1FA38FE6" w14:textId="1A38D365" w:rsidR="0061630F"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35A6E">
        <w:tc>
          <w:tcPr>
            <w:tcW w:w="10773" w:type="dxa"/>
            <w:tcBorders>
              <w:top w:val="nil"/>
              <w:left w:val="nil"/>
              <w:bottom w:val="nil"/>
              <w:right w:val="nil"/>
            </w:tcBorders>
            <w:shd w:val="clear" w:color="auto" w:fill="1B3D95"/>
          </w:tcPr>
          <w:p w14:paraId="482F1D1E" w14:textId="77777777" w:rsidR="00062A55" w:rsidRPr="00835A6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35A6E">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5A947308" w14:textId="62E74188" w:rsidR="00F309DD"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“International Civil Aviation Organization”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“International Air Transport Association” (Associação Internacional de Transporte Aéreo) Dangerous Goods Regulation (DGR).</w:t>
      </w:r>
      <w:r w:rsidR="0001356E" w:rsidRPr="00931725">
        <w:rPr>
          <w:rFonts w:ascii="Arial" w:hAnsi="Arial" w:cs="Arial"/>
        </w:rPr>
        <w:t xml:space="preserve"> </w:t>
      </w:r>
    </w:p>
    <w:p w14:paraId="5AE7AEA7" w14:textId="3B169639" w:rsidR="00666C6D" w:rsidRPr="00666C6D" w:rsidRDefault="00666C6D" w:rsidP="00B06D60">
      <w:pPr>
        <w:tabs>
          <w:tab w:val="left" w:pos="993"/>
        </w:tabs>
        <w:ind w:right="128"/>
        <w:jc w:val="both"/>
        <w:rPr>
          <w:rFonts w:ascii="Arial" w:hAnsi="Arial" w:cs="Arial"/>
          <w:b/>
          <w:bCs/>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835A6E">
        <w:tc>
          <w:tcPr>
            <w:tcW w:w="10773" w:type="dxa"/>
            <w:tcBorders>
              <w:top w:val="nil"/>
              <w:left w:val="nil"/>
              <w:bottom w:val="nil"/>
              <w:right w:val="nil"/>
            </w:tcBorders>
            <w:shd w:val="clear" w:color="auto" w:fill="1B3D95"/>
          </w:tcPr>
          <w:p w14:paraId="43788E9D" w14:textId="77777777" w:rsidR="00062A55" w:rsidRPr="00835A6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35A6E">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1BE4A72A" w14:textId="59C6E2BF" w:rsidR="00AE7D22" w:rsidRPr="00647559" w:rsidRDefault="00B23895" w:rsidP="0064755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835A6E">
        <w:tc>
          <w:tcPr>
            <w:tcW w:w="10773" w:type="dxa"/>
            <w:tcBorders>
              <w:top w:val="nil"/>
              <w:left w:val="nil"/>
              <w:bottom w:val="nil"/>
              <w:right w:val="nil"/>
            </w:tcBorders>
            <w:shd w:val="clear" w:color="auto" w:fill="1B3D95"/>
          </w:tcPr>
          <w:p w14:paraId="5DE797C2" w14:textId="77777777" w:rsidR="00062A55" w:rsidRPr="00835A6E"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835A6E">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549EFBCF"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024974D" w14:textId="77777777" w:rsidR="000C6563" w:rsidRDefault="000C6563" w:rsidP="00B06D60">
      <w:pPr>
        <w:spacing w:after="0" w:line="240" w:lineRule="auto"/>
        <w:ind w:right="128"/>
        <w:jc w:val="center"/>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27B8F7DB" w14:textId="14796314" w:rsidR="000C6563" w:rsidRPr="00647559" w:rsidRDefault="006F3264" w:rsidP="00647559">
      <w:pPr>
        <w:spacing w:after="0" w:line="240" w:lineRule="auto"/>
        <w:ind w:right="128"/>
        <w:jc w:val="center"/>
        <w:rPr>
          <w:rFonts w:ascii="Arial" w:hAnsi="Arial" w:cs="Arial"/>
        </w:rPr>
      </w:pPr>
      <w:r w:rsidRPr="006F3264">
        <w:rPr>
          <w:rFonts w:ascii="Arial" w:hAnsi="Arial" w:cs="Arial"/>
        </w:rPr>
        <w:t>IBAMA: (61)3316-1677 / 3316-1212</w:t>
      </w:r>
    </w:p>
    <w:p w14:paraId="7E094DD1" w14:textId="77777777" w:rsidR="000C6563" w:rsidRPr="00B23895" w:rsidRDefault="000C6563"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9C256E" w:rsidRDefault="00B42B2B" w:rsidP="00B06D60">
      <w:pPr>
        <w:spacing w:line="240" w:lineRule="auto"/>
        <w:ind w:right="128"/>
        <w:jc w:val="both"/>
        <w:rPr>
          <w:rFonts w:ascii="Arial" w:hAnsi="Arial" w:cs="Arial"/>
          <w:lang w:val="en-US"/>
        </w:rPr>
      </w:pPr>
      <w:r w:rsidRPr="009C256E">
        <w:rPr>
          <w:rFonts w:ascii="Arial" w:hAnsi="Arial" w:cs="Arial"/>
          <w:b/>
          <w:bCs/>
          <w:lang w:val="en-US"/>
        </w:rPr>
        <w:t>TLV</w:t>
      </w:r>
      <w:r w:rsidRPr="009C256E">
        <w:rPr>
          <w:rFonts w:ascii="Arial" w:hAnsi="Arial" w:cs="Arial"/>
          <w:lang w:val="en-US"/>
        </w:rPr>
        <w:t xml:space="preserve"> - Threshold Limit Value</w:t>
      </w:r>
      <w:r w:rsidR="00C0684D" w:rsidRPr="009C256E">
        <w:rPr>
          <w:rFonts w:ascii="Arial" w:hAnsi="Arial" w:cs="Arial"/>
          <w:lang w:val="en-US"/>
        </w:rPr>
        <w:t xml:space="preserve"> </w:t>
      </w:r>
    </w:p>
    <w:p w14:paraId="4BC7A1E6" w14:textId="20158851" w:rsidR="00B42B2B" w:rsidRPr="009C256E" w:rsidRDefault="00B42B2B" w:rsidP="00B06D60">
      <w:pPr>
        <w:spacing w:line="240" w:lineRule="auto"/>
        <w:ind w:right="128"/>
        <w:jc w:val="both"/>
        <w:rPr>
          <w:rFonts w:ascii="Arial" w:hAnsi="Arial" w:cs="Arial"/>
          <w:lang w:val="en-US"/>
        </w:rPr>
      </w:pPr>
      <w:r w:rsidRPr="009C256E">
        <w:rPr>
          <w:rFonts w:ascii="Arial" w:hAnsi="Arial" w:cs="Arial"/>
          <w:b/>
          <w:bCs/>
          <w:lang w:val="en-US"/>
        </w:rPr>
        <w:t>TWA</w:t>
      </w:r>
      <w:r w:rsidRPr="009C256E">
        <w:rPr>
          <w:rFonts w:ascii="Arial" w:hAnsi="Arial" w:cs="Arial"/>
          <w:lang w:val="en-US"/>
        </w:rPr>
        <w:t xml:space="preserve"> - Time-Weighted Average</w:t>
      </w:r>
    </w:p>
    <w:p w14:paraId="751B6064" w14:textId="3EF776F1" w:rsidR="00B42B2B" w:rsidRPr="009C256E" w:rsidRDefault="00B42B2B" w:rsidP="00B06D60">
      <w:pPr>
        <w:spacing w:line="240" w:lineRule="auto"/>
        <w:ind w:right="128"/>
        <w:jc w:val="both"/>
        <w:rPr>
          <w:rFonts w:ascii="Arial" w:hAnsi="Arial" w:cs="Arial"/>
          <w:lang w:val="en-US"/>
        </w:rPr>
      </w:pPr>
      <w:r w:rsidRPr="009C256E">
        <w:rPr>
          <w:rFonts w:ascii="Arial" w:hAnsi="Arial" w:cs="Arial"/>
          <w:b/>
          <w:bCs/>
          <w:lang w:val="en-US"/>
        </w:rPr>
        <w:t>PEL</w:t>
      </w:r>
      <w:r w:rsidRPr="009C256E">
        <w:rPr>
          <w:rFonts w:ascii="Arial" w:hAnsi="Arial" w:cs="Arial"/>
          <w:lang w:val="en-US"/>
        </w:rPr>
        <w:t xml:space="preserve"> - Permissible Exposure Limits</w:t>
      </w:r>
      <w:r w:rsidR="00C0684D" w:rsidRPr="009C256E">
        <w:rPr>
          <w:rFonts w:ascii="Arial" w:hAnsi="Arial" w:cs="Arial"/>
          <w:lang w:val="en-US"/>
        </w:rPr>
        <w:t xml:space="preserve"> </w:t>
      </w:r>
    </w:p>
    <w:p w14:paraId="02AF20F3" w14:textId="3566AC94" w:rsidR="00B42B2B" w:rsidRPr="009C256E" w:rsidRDefault="00C0684D" w:rsidP="00B06D60">
      <w:pPr>
        <w:spacing w:line="240" w:lineRule="auto"/>
        <w:ind w:right="128"/>
        <w:jc w:val="both"/>
        <w:rPr>
          <w:rFonts w:ascii="Arial" w:hAnsi="Arial" w:cs="Arial"/>
          <w:lang w:val="en-US"/>
        </w:rPr>
      </w:pPr>
      <w:r w:rsidRPr="009C256E">
        <w:rPr>
          <w:rFonts w:ascii="Arial" w:hAnsi="Arial" w:cs="Arial"/>
          <w:b/>
          <w:bCs/>
          <w:lang w:val="en-US"/>
        </w:rPr>
        <w:t>REL</w:t>
      </w:r>
      <w:r w:rsidRPr="009C256E">
        <w:rPr>
          <w:rFonts w:ascii="Arial" w:hAnsi="Arial" w:cs="Arial"/>
          <w:lang w:val="en-US"/>
        </w:rPr>
        <w:t xml:space="preserve"> - Recommended Exposure Limits </w:t>
      </w:r>
    </w:p>
    <w:p w14:paraId="0DB31D89" w14:textId="77777777" w:rsidR="00566CE0" w:rsidRPr="009C256E" w:rsidRDefault="00566CE0"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ECHA – European Chemicals Agency</w:t>
      </w:r>
      <w:r w:rsidR="00696865">
        <w:rPr>
          <w:rFonts w:ascii="Arial" w:hAnsi="Arial" w:cs="Arial"/>
        </w:rPr>
        <w:t>.</w:t>
      </w:r>
      <w:r w:rsidR="000D781F" w:rsidRPr="000D781F">
        <w:rPr>
          <w:rFonts w:ascii="Arial" w:hAnsi="Arial" w:cs="Arial"/>
        </w:rPr>
        <w:t xml:space="preserve"> </w:t>
      </w:r>
    </w:p>
    <w:p w14:paraId="1A4D774C" w14:textId="727A6782" w:rsidR="00B951C9" w:rsidRPr="009C256E" w:rsidRDefault="00B951C9" w:rsidP="00B06D60">
      <w:pPr>
        <w:pStyle w:val="PargrafodaLista"/>
        <w:numPr>
          <w:ilvl w:val="0"/>
          <w:numId w:val="13"/>
        </w:numPr>
        <w:spacing w:line="360" w:lineRule="auto"/>
        <w:ind w:right="128"/>
        <w:jc w:val="both"/>
        <w:rPr>
          <w:rFonts w:ascii="Arial" w:hAnsi="Arial" w:cs="Arial"/>
          <w:lang w:val="en-US"/>
        </w:rPr>
      </w:pPr>
      <w:r w:rsidRPr="009C256E">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American Conference of Governmental Industrial Hygienists</w:t>
      </w:r>
      <w:r>
        <w:rPr>
          <w:rFonts w:ascii="Arial" w:hAnsi="Arial" w:cs="Arial"/>
        </w:rPr>
        <w:t>.</w:t>
      </w:r>
    </w:p>
    <w:p w14:paraId="316F6A4A" w14:textId="49599CD5" w:rsidR="00B951C9" w:rsidRPr="009C256E" w:rsidRDefault="00B951C9" w:rsidP="00B06D60">
      <w:pPr>
        <w:pStyle w:val="PargrafodaLista"/>
        <w:numPr>
          <w:ilvl w:val="0"/>
          <w:numId w:val="13"/>
        </w:numPr>
        <w:spacing w:line="360" w:lineRule="auto"/>
        <w:ind w:right="128"/>
        <w:jc w:val="both"/>
        <w:rPr>
          <w:rFonts w:ascii="Arial" w:hAnsi="Arial" w:cs="Arial"/>
          <w:lang w:val="en-US"/>
        </w:rPr>
      </w:pPr>
      <w:r w:rsidRPr="009C256E">
        <w:rPr>
          <w:rFonts w:ascii="Arial" w:hAnsi="Arial" w:cs="Arial"/>
          <w:lang w:val="en-US"/>
        </w:rPr>
        <w:t>Base de dados da NIOSH - National Institute for Occupational Safety and Health</w:t>
      </w:r>
      <w:r w:rsidR="00110133" w:rsidRPr="009C256E">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r>
        <w:rPr>
          <w:rFonts w:ascii="Arial" w:hAnsi="Arial" w:cs="Arial"/>
        </w:rPr>
        <w:t>International Agency for Research on Cancer.</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(National Toxicology Program)</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9C256E">
        <w:rPr>
          <w:rFonts w:ascii="Arial" w:hAnsi="Arial" w:cs="Arial"/>
          <w:lang w:val="en-US"/>
        </w:rPr>
        <w:t xml:space="preserve">Globally Harmonized System of Classification and Labelling of Chemicals (GHS Rev. 10, 2023). </w:t>
      </w:r>
      <w:r w:rsidRPr="00864490">
        <w:rPr>
          <w:rFonts w:ascii="Arial" w:hAnsi="Arial" w:cs="Arial"/>
        </w:rPr>
        <w:t>United Nations, 2023</w:t>
      </w:r>
    </w:p>
    <w:p w14:paraId="6D07632E" w14:textId="0BD78204" w:rsidR="0033164F" w:rsidRPr="009C256E" w:rsidRDefault="00110133" w:rsidP="00B06D60">
      <w:pPr>
        <w:pStyle w:val="PargrafodaLista"/>
        <w:numPr>
          <w:ilvl w:val="0"/>
          <w:numId w:val="13"/>
        </w:numPr>
        <w:spacing w:line="360" w:lineRule="auto"/>
        <w:ind w:right="128"/>
        <w:jc w:val="both"/>
        <w:rPr>
          <w:rFonts w:ascii="Arial" w:hAnsi="Arial" w:cs="Arial"/>
          <w:lang w:val="en-US"/>
        </w:rPr>
      </w:pPr>
      <w:r w:rsidRPr="009C256E">
        <w:rPr>
          <w:rFonts w:ascii="Arial" w:hAnsi="Arial" w:cs="Arial"/>
          <w:lang w:val="en-US"/>
        </w:rPr>
        <w:t>UN Model Regulations Rev. 23 (2023). United Nations, 2023</w:t>
      </w:r>
    </w:p>
    <w:sectPr w:rsidR="0033164F" w:rsidRPr="009C256E" w:rsidSect="00647559">
      <w:headerReference w:type="default" r:id="rId14"/>
      <w:footerReference w:type="default" r:id="rId15"/>
      <w:pgSz w:w="11906" w:h="16838"/>
      <w:pgMar w:top="2369" w:right="720" w:bottom="720" w:left="426" w:header="33"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B65835">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C52B7" w14:textId="77777777" w:rsidR="00FE39E8" w:rsidRDefault="00FE39E8" w:rsidP="00FE39E8">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14A0C9E3" wp14:editId="776DCE79">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B304CBA" w14:textId="77777777" w:rsidR="00FE39E8" w:rsidRPr="009A1389" w:rsidRDefault="00FE39E8" w:rsidP="00FE39E8">
                          <w:pPr>
                            <w:rPr>
                              <w:sz w:val="18"/>
                              <w:szCs w:val="18"/>
                            </w:rPr>
                          </w:pPr>
                          <w:r w:rsidRPr="009A1389">
                            <w:rPr>
                              <w:sz w:val="18"/>
                              <w:szCs w:val="18"/>
                            </w:rPr>
                            <w:t>Data da revisão:</w:t>
                          </w:r>
                          <w:r>
                            <w:rPr>
                              <w:sz w:val="18"/>
                              <w:szCs w:val="18"/>
                            </w:rPr>
                            <w:t xml:space="preserve"> 24/10/2024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A0C9E3"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B304CBA" w14:textId="77777777" w:rsidR="00FE39E8" w:rsidRPr="009A1389" w:rsidRDefault="00FE39E8" w:rsidP="00FE39E8">
                    <w:pPr>
                      <w:rPr>
                        <w:sz w:val="18"/>
                        <w:szCs w:val="18"/>
                      </w:rPr>
                    </w:pPr>
                    <w:r w:rsidRPr="009A1389">
                      <w:rPr>
                        <w:sz w:val="18"/>
                        <w:szCs w:val="18"/>
                      </w:rPr>
                      <w:t>Data da revisão:</w:t>
                    </w:r>
                    <w:r>
                      <w:rPr>
                        <w:sz w:val="18"/>
                        <w:szCs w:val="18"/>
                      </w:rPr>
                      <w:t xml:space="preserve"> 24/10/2024</w:t>
                    </w:r>
                  </w:p>
                </w:txbxContent>
              </v:textbox>
              <w10:wrap anchorx="margin"/>
            </v:shape>
          </w:pict>
        </mc:Fallback>
      </mc:AlternateContent>
    </w:r>
  </w:p>
  <w:p w14:paraId="68FDF378" w14:textId="77777777" w:rsidR="00FE39E8" w:rsidRPr="009A1389" w:rsidRDefault="00FE39E8" w:rsidP="00FE39E8">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4A96DCF6" wp14:editId="18A79D84">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71723D40" w14:textId="77777777" w:rsidR="00FE39E8" w:rsidRDefault="00FE39E8" w:rsidP="00FE39E8">
    <w:pPr>
      <w:pStyle w:val="Cabealho"/>
      <w:spacing w:line="276" w:lineRule="auto"/>
      <w:ind w:left="850" w:right="-449" w:hanging="1134"/>
      <w:jc w:val="center"/>
      <w:rPr>
        <w:noProof/>
      </w:rPr>
    </w:pPr>
  </w:p>
  <w:p w14:paraId="46A4A75A" w14:textId="77777777" w:rsidR="00FE39E8" w:rsidRPr="005661E9" w:rsidRDefault="00FE39E8" w:rsidP="00FE39E8">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35B4FF23" w14:textId="77777777" w:rsidR="00FE39E8" w:rsidRDefault="00FE39E8" w:rsidP="00FE39E8">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7BACBA94" w14:textId="77777777" w:rsidR="00FE39E8" w:rsidRPr="009A1389" w:rsidRDefault="00FE39E8" w:rsidP="00FE39E8">
    <w:pPr>
      <w:pStyle w:val="Cabealho"/>
      <w:tabs>
        <w:tab w:val="clear" w:pos="4252"/>
        <w:tab w:val="center" w:pos="3686"/>
      </w:tabs>
      <w:ind w:right="1546"/>
      <w:jc w:val="center"/>
      <w:rPr>
        <w:rFonts w:ascii="Myanmar Text" w:hAnsi="Myanmar Text" w:cs="Myanmar Text"/>
        <w:bCs/>
        <w:sz w:val="10"/>
        <w:szCs w:val="14"/>
      </w:rPr>
    </w:pPr>
  </w:p>
  <w:p w14:paraId="2C7EA9F1" w14:textId="17C2B764" w:rsidR="00FE39E8" w:rsidRPr="009A1389" w:rsidRDefault="00FE39E8" w:rsidP="00FE39E8">
    <w:pPr>
      <w:pStyle w:val="Cabealho"/>
      <w:tabs>
        <w:tab w:val="clear" w:pos="4252"/>
        <w:tab w:val="center" w:pos="3686"/>
      </w:tabs>
      <w:ind w:left="850" w:right="1546" w:hanging="1134"/>
      <w:jc w:val="center"/>
      <w:rPr>
        <w:rFonts w:ascii="Myanmar Text" w:hAnsi="Myanmar Text" w:cs="Myanmar Text"/>
        <w:bCs/>
        <w:sz w:val="28"/>
        <w:szCs w:val="36"/>
      </w:rPr>
    </w:pPr>
    <w:r>
      <w:rPr>
        <w:rFonts w:ascii="Myanmar Text" w:hAnsi="Myanmar Text" w:cs="Myanmar Text"/>
        <w:bCs/>
        <w:sz w:val="28"/>
        <w:szCs w:val="36"/>
      </w:rPr>
      <w:t xml:space="preserve">TOP 1 GEAR OIL </w:t>
    </w:r>
    <w:r w:rsidR="00835A6E">
      <w:rPr>
        <w:rFonts w:ascii="Myanmar Text" w:hAnsi="Myanmar Text" w:cs="Myanmar Text"/>
        <w:bCs/>
        <w:sz w:val="28"/>
        <w:szCs w:val="36"/>
      </w:rPr>
      <w:t xml:space="preserve">EP </w:t>
    </w:r>
    <w:r>
      <w:rPr>
        <w:rFonts w:ascii="Myanmar Text" w:hAnsi="Myanmar Text" w:cs="Myanmar Text"/>
        <w:bCs/>
        <w:sz w:val="28"/>
        <w:szCs w:val="36"/>
      </w:rPr>
      <w:t>SAE 90 API GL-5</w:t>
    </w:r>
  </w:p>
  <w:bookmarkEnd w:id="2"/>
  <w:p w14:paraId="124A44DE" w14:textId="77777777" w:rsidR="00FE39E8" w:rsidRPr="002C634A" w:rsidRDefault="00FE39E8" w:rsidP="00FE39E8">
    <w:pPr>
      <w:pStyle w:val="Cabealho"/>
      <w:ind w:left="850" w:right="-449" w:hanging="1134"/>
      <w:jc w:val="center"/>
      <w:rPr>
        <w:rFonts w:ascii="Myanmar Text" w:hAnsi="Myanmar Text" w:cs="Myanmar Text"/>
        <w:bCs/>
        <w:sz w:val="6"/>
        <w:szCs w:val="10"/>
      </w:rPr>
    </w:pPr>
  </w:p>
  <w:p w14:paraId="4640A29C" w14:textId="77777777" w:rsidR="00FE39E8" w:rsidRDefault="00FE39E8" w:rsidP="00FE39E8">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715283C0" wp14:editId="059562CD">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38AB09B9" w14:textId="77777777" w:rsidR="00FE39E8" w:rsidRPr="0001058F" w:rsidRDefault="00FE39E8" w:rsidP="00FE39E8">
    <w:pPr>
      <w:pStyle w:val="Cabealho"/>
      <w:ind w:left="850" w:right="-449" w:hanging="1134"/>
      <w:jc w:val="center"/>
      <w:rPr>
        <w:rFonts w:ascii="Myanmar Text" w:hAnsi="Myanmar Text" w:cs="Myanmar Text"/>
        <w:bCs/>
        <w:sz w:val="12"/>
        <w:szCs w:val="16"/>
      </w:rPr>
    </w:pPr>
  </w:p>
  <w:p w14:paraId="77039B7E" w14:textId="14997F96" w:rsidR="0001058F" w:rsidRPr="00FE39E8" w:rsidRDefault="0001058F" w:rsidP="00FE39E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EE6C6226"/>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1222F33C"/>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AB4031E"/>
    <w:multiLevelType w:val="hybridMultilevel"/>
    <w:tmpl w:val="6568B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EC5AF022"/>
    <w:lvl w:ilvl="0" w:tplc="FFA88132">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265214">
    <w:abstractNumId w:val="13"/>
  </w:num>
  <w:num w:numId="2" w16cid:durableId="1726562421">
    <w:abstractNumId w:val="2"/>
  </w:num>
  <w:num w:numId="3" w16cid:durableId="1810973799">
    <w:abstractNumId w:val="4"/>
  </w:num>
  <w:num w:numId="4" w16cid:durableId="1644504293">
    <w:abstractNumId w:val="1"/>
  </w:num>
  <w:num w:numId="5" w16cid:durableId="1709645470">
    <w:abstractNumId w:val="5"/>
  </w:num>
  <w:num w:numId="6" w16cid:durableId="1464956102">
    <w:abstractNumId w:val="0"/>
  </w:num>
  <w:num w:numId="7" w16cid:durableId="42020564">
    <w:abstractNumId w:val="8"/>
  </w:num>
  <w:num w:numId="8" w16cid:durableId="1792238622">
    <w:abstractNumId w:val="9"/>
  </w:num>
  <w:num w:numId="9" w16cid:durableId="642321073">
    <w:abstractNumId w:val="14"/>
  </w:num>
  <w:num w:numId="10" w16cid:durableId="38357087">
    <w:abstractNumId w:val="6"/>
  </w:num>
  <w:num w:numId="11" w16cid:durableId="948900571">
    <w:abstractNumId w:val="10"/>
  </w:num>
  <w:num w:numId="12" w16cid:durableId="920792874">
    <w:abstractNumId w:val="3"/>
  </w:num>
  <w:num w:numId="13" w16cid:durableId="1055395107">
    <w:abstractNumId w:val="12"/>
  </w:num>
  <w:num w:numId="14" w16cid:durableId="1350521239">
    <w:abstractNumId w:val="7"/>
  </w:num>
  <w:num w:numId="15" w16cid:durableId="17498824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62A55"/>
    <w:rsid w:val="00064093"/>
    <w:rsid w:val="00073790"/>
    <w:rsid w:val="00084E39"/>
    <w:rsid w:val="000A3156"/>
    <w:rsid w:val="000A3A2A"/>
    <w:rsid w:val="000A5F57"/>
    <w:rsid w:val="000A7913"/>
    <w:rsid w:val="000B2819"/>
    <w:rsid w:val="000C6563"/>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D5AD3"/>
    <w:rsid w:val="002F462E"/>
    <w:rsid w:val="00301FAA"/>
    <w:rsid w:val="00305A55"/>
    <w:rsid w:val="00310476"/>
    <w:rsid w:val="00312BD1"/>
    <w:rsid w:val="00320B0B"/>
    <w:rsid w:val="00325259"/>
    <w:rsid w:val="0033164F"/>
    <w:rsid w:val="0033569E"/>
    <w:rsid w:val="0034322C"/>
    <w:rsid w:val="003445BB"/>
    <w:rsid w:val="00344B19"/>
    <w:rsid w:val="00352B56"/>
    <w:rsid w:val="003632F0"/>
    <w:rsid w:val="00376D1A"/>
    <w:rsid w:val="003805AC"/>
    <w:rsid w:val="003B204D"/>
    <w:rsid w:val="003E58E6"/>
    <w:rsid w:val="003F0640"/>
    <w:rsid w:val="00402E8D"/>
    <w:rsid w:val="004058C7"/>
    <w:rsid w:val="00405943"/>
    <w:rsid w:val="004077AC"/>
    <w:rsid w:val="004079D4"/>
    <w:rsid w:val="0043387F"/>
    <w:rsid w:val="00444605"/>
    <w:rsid w:val="00494907"/>
    <w:rsid w:val="0049720F"/>
    <w:rsid w:val="004A54DA"/>
    <w:rsid w:val="004B2254"/>
    <w:rsid w:val="004C00A9"/>
    <w:rsid w:val="004D1CE4"/>
    <w:rsid w:val="004E29CC"/>
    <w:rsid w:val="00502E5F"/>
    <w:rsid w:val="00505577"/>
    <w:rsid w:val="0051444C"/>
    <w:rsid w:val="005251DB"/>
    <w:rsid w:val="00525F85"/>
    <w:rsid w:val="005349F1"/>
    <w:rsid w:val="00543E69"/>
    <w:rsid w:val="005661E9"/>
    <w:rsid w:val="00566CE0"/>
    <w:rsid w:val="005725A6"/>
    <w:rsid w:val="00576DDD"/>
    <w:rsid w:val="00583DAC"/>
    <w:rsid w:val="00584180"/>
    <w:rsid w:val="0059224D"/>
    <w:rsid w:val="0059247B"/>
    <w:rsid w:val="005A56A1"/>
    <w:rsid w:val="005B198F"/>
    <w:rsid w:val="005B5C4F"/>
    <w:rsid w:val="005B7DEB"/>
    <w:rsid w:val="005C5167"/>
    <w:rsid w:val="005D7C5F"/>
    <w:rsid w:val="005E31A9"/>
    <w:rsid w:val="005F145F"/>
    <w:rsid w:val="006017AB"/>
    <w:rsid w:val="0061630F"/>
    <w:rsid w:val="00621678"/>
    <w:rsid w:val="006266D6"/>
    <w:rsid w:val="00636B56"/>
    <w:rsid w:val="006401B8"/>
    <w:rsid w:val="006406C8"/>
    <w:rsid w:val="00642C49"/>
    <w:rsid w:val="0064522E"/>
    <w:rsid w:val="006457C7"/>
    <w:rsid w:val="00647559"/>
    <w:rsid w:val="00655BE0"/>
    <w:rsid w:val="00665A7A"/>
    <w:rsid w:val="00666C6D"/>
    <w:rsid w:val="00673589"/>
    <w:rsid w:val="00694AF2"/>
    <w:rsid w:val="0069524B"/>
    <w:rsid w:val="00696865"/>
    <w:rsid w:val="006A0985"/>
    <w:rsid w:val="006A1361"/>
    <w:rsid w:val="006A3BCA"/>
    <w:rsid w:val="006B29A5"/>
    <w:rsid w:val="006C6701"/>
    <w:rsid w:val="006E0AA4"/>
    <w:rsid w:val="006E1BE1"/>
    <w:rsid w:val="006E4C9A"/>
    <w:rsid w:val="006F1E5A"/>
    <w:rsid w:val="006F3264"/>
    <w:rsid w:val="0070742B"/>
    <w:rsid w:val="007110B8"/>
    <w:rsid w:val="00717876"/>
    <w:rsid w:val="00733A6B"/>
    <w:rsid w:val="007433F3"/>
    <w:rsid w:val="007450D2"/>
    <w:rsid w:val="007502AB"/>
    <w:rsid w:val="00750AB4"/>
    <w:rsid w:val="0076361B"/>
    <w:rsid w:val="00766ECC"/>
    <w:rsid w:val="00772278"/>
    <w:rsid w:val="00775675"/>
    <w:rsid w:val="00790DFE"/>
    <w:rsid w:val="007959F0"/>
    <w:rsid w:val="007A38A5"/>
    <w:rsid w:val="007C70E5"/>
    <w:rsid w:val="007E1133"/>
    <w:rsid w:val="00800FE7"/>
    <w:rsid w:val="00802FEF"/>
    <w:rsid w:val="008077BC"/>
    <w:rsid w:val="008141A4"/>
    <w:rsid w:val="00816CEC"/>
    <w:rsid w:val="0082429A"/>
    <w:rsid w:val="008340C1"/>
    <w:rsid w:val="00835454"/>
    <w:rsid w:val="00835A6E"/>
    <w:rsid w:val="00844918"/>
    <w:rsid w:val="0084565A"/>
    <w:rsid w:val="00864490"/>
    <w:rsid w:val="00875BB5"/>
    <w:rsid w:val="0087753C"/>
    <w:rsid w:val="00894724"/>
    <w:rsid w:val="008A4B70"/>
    <w:rsid w:val="008E0044"/>
    <w:rsid w:val="008E6378"/>
    <w:rsid w:val="008F0C74"/>
    <w:rsid w:val="008F7B8F"/>
    <w:rsid w:val="009269FF"/>
    <w:rsid w:val="00931725"/>
    <w:rsid w:val="00935C9A"/>
    <w:rsid w:val="009511F3"/>
    <w:rsid w:val="00980558"/>
    <w:rsid w:val="00981B57"/>
    <w:rsid w:val="009A1389"/>
    <w:rsid w:val="009C173C"/>
    <w:rsid w:val="009C256E"/>
    <w:rsid w:val="009D7B70"/>
    <w:rsid w:val="009E4BC9"/>
    <w:rsid w:val="00A361C4"/>
    <w:rsid w:val="00A52290"/>
    <w:rsid w:val="00A6429C"/>
    <w:rsid w:val="00A77816"/>
    <w:rsid w:val="00A91159"/>
    <w:rsid w:val="00AB25F0"/>
    <w:rsid w:val="00AB3064"/>
    <w:rsid w:val="00AB5B90"/>
    <w:rsid w:val="00AB6E25"/>
    <w:rsid w:val="00AC29AD"/>
    <w:rsid w:val="00AE7CCC"/>
    <w:rsid w:val="00AE7D22"/>
    <w:rsid w:val="00B06D60"/>
    <w:rsid w:val="00B13886"/>
    <w:rsid w:val="00B20325"/>
    <w:rsid w:val="00B23895"/>
    <w:rsid w:val="00B26E03"/>
    <w:rsid w:val="00B42B2B"/>
    <w:rsid w:val="00B54512"/>
    <w:rsid w:val="00B6467A"/>
    <w:rsid w:val="00B65835"/>
    <w:rsid w:val="00B762A6"/>
    <w:rsid w:val="00B811DD"/>
    <w:rsid w:val="00B819B6"/>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3E0F"/>
    <w:rsid w:val="00BE60D1"/>
    <w:rsid w:val="00C03B69"/>
    <w:rsid w:val="00C0684D"/>
    <w:rsid w:val="00C11D78"/>
    <w:rsid w:val="00C26A9E"/>
    <w:rsid w:val="00C468E0"/>
    <w:rsid w:val="00C555C8"/>
    <w:rsid w:val="00C55760"/>
    <w:rsid w:val="00C56343"/>
    <w:rsid w:val="00C70CF6"/>
    <w:rsid w:val="00C7241D"/>
    <w:rsid w:val="00C82D34"/>
    <w:rsid w:val="00C83E7D"/>
    <w:rsid w:val="00C87395"/>
    <w:rsid w:val="00CC64A5"/>
    <w:rsid w:val="00CD56DB"/>
    <w:rsid w:val="00CD6C5A"/>
    <w:rsid w:val="00D0261D"/>
    <w:rsid w:val="00D12483"/>
    <w:rsid w:val="00D37984"/>
    <w:rsid w:val="00D76C27"/>
    <w:rsid w:val="00D879BE"/>
    <w:rsid w:val="00D97E5F"/>
    <w:rsid w:val="00DA14CA"/>
    <w:rsid w:val="00DB2830"/>
    <w:rsid w:val="00DC6991"/>
    <w:rsid w:val="00DF57E9"/>
    <w:rsid w:val="00DF7A48"/>
    <w:rsid w:val="00E05313"/>
    <w:rsid w:val="00E119AD"/>
    <w:rsid w:val="00E1265F"/>
    <w:rsid w:val="00E22623"/>
    <w:rsid w:val="00E24E23"/>
    <w:rsid w:val="00E55533"/>
    <w:rsid w:val="00E57C88"/>
    <w:rsid w:val="00E6251A"/>
    <w:rsid w:val="00E73842"/>
    <w:rsid w:val="00E7669C"/>
    <w:rsid w:val="00E91077"/>
    <w:rsid w:val="00EA246F"/>
    <w:rsid w:val="00EA7CD2"/>
    <w:rsid w:val="00EE5402"/>
    <w:rsid w:val="00EE74BA"/>
    <w:rsid w:val="00EF1A4C"/>
    <w:rsid w:val="00F12A5D"/>
    <w:rsid w:val="00F309DD"/>
    <w:rsid w:val="00F323C9"/>
    <w:rsid w:val="00F370C3"/>
    <w:rsid w:val="00F44BF4"/>
    <w:rsid w:val="00F45D7E"/>
    <w:rsid w:val="00F529B2"/>
    <w:rsid w:val="00F53E82"/>
    <w:rsid w:val="00F54C63"/>
    <w:rsid w:val="00F60C8C"/>
    <w:rsid w:val="00F65D78"/>
    <w:rsid w:val="00F7286D"/>
    <w:rsid w:val="00F83A40"/>
    <w:rsid w:val="00FB0247"/>
    <w:rsid w:val="00FB0E39"/>
    <w:rsid w:val="00FB32EC"/>
    <w:rsid w:val="00FE2E0B"/>
    <w:rsid w:val="00FE33F6"/>
    <w:rsid w:val="00FE39E8"/>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259072549">
      <w:bodyDiv w:val="1"/>
      <w:marLeft w:val="0"/>
      <w:marRight w:val="0"/>
      <w:marTop w:val="0"/>
      <w:marBottom w:val="0"/>
      <w:divBdr>
        <w:top w:val="none" w:sz="0" w:space="0" w:color="auto"/>
        <w:left w:val="none" w:sz="0" w:space="0" w:color="auto"/>
        <w:bottom w:val="none" w:sz="0" w:space="0" w:color="auto"/>
        <w:right w:val="none" w:sz="0" w:space="0" w:color="auto"/>
      </w:divBdr>
    </w:div>
    <w:div w:id="335956892">
      <w:bodyDiv w:val="1"/>
      <w:marLeft w:val="0"/>
      <w:marRight w:val="0"/>
      <w:marTop w:val="0"/>
      <w:marBottom w:val="0"/>
      <w:divBdr>
        <w:top w:val="none" w:sz="0" w:space="0" w:color="auto"/>
        <w:left w:val="none" w:sz="0" w:space="0" w:color="auto"/>
        <w:bottom w:val="none" w:sz="0" w:space="0" w:color="auto"/>
        <w:right w:val="none" w:sz="0" w:space="0" w:color="auto"/>
      </w:divBdr>
    </w:div>
    <w:div w:id="429617700">
      <w:bodyDiv w:val="1"/>
      <w:marLeft w:val="0"/>
      <w:marRight w:val="0"/>
      <w:marTop w:val="0"/>
      <w:marBottom w:val="0"/>
      <w:divBdr>
        <w:top w:val="none" w:sz="0" w:space="0" w:color="auto"/>
        <w:left w:val="none" w:sz="0" w:space="0" w:color="auto"/>
        <w:bottom w:val="none" w:sz="0" w:space="0" w:color="auto"/>
        <w:right w:val="none" w:sz="0" w:space="0" w:color="auto"/>
      </w:divBdr>
    </w:div>
    <w:div w:id="445274284">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472605013">
      <w:bodyDiv w:val="1"/>
      <w:marLeft w:val="0"/>
      <w:marRight w:val="0"/>
      <w:marTop w:val="0"/>
      <w:marBottom w:val="0"/>
      <w:divBdr>
        <w:top w:val="none" w:sz="0" w:space="0" w:color="auto"/>
        <w:left w:val="none" w:sz="0" w:space="0" w:color="auto"/>
        <w:bottom w:val="none" w:sz="0" w:space="0" w:color="auto"/>
        <w:right w:val="none" w:sz="0" w:space="0" w:color="auto"/>
      </w:divBdr>
    </w:div>
    <w:div w:id="670766090">
      <w:bodyDiv w:val="1"/>
      <w:marLeft w:val="0"/>
      <w:marRight w:val="0"/>
      <w:marTop w:val="0"/>
      <w:marBottom w:val="0"/>
      <w:divBdr>
        <w:top w:val="none" w:sz="0" w:space="0" w:color="auto"/>
        <w:left w:val="none" w:sz="0" w:space="0" w:color="auto"/>
        <w:bottom w:val="none" w:sz="0" w:space="0" w:color="auto"/>
        <w:right w:val="none" w:sz="0" w:space="0" w:color="auto"/>
      </w:divBdr>
    </w:div>
    <w:div w:id="929194649">
      <w:bodyDiv w:val="1"/>
      <w:marLeft w:val="0"/>
      <w:marRight w:val="0"/>
      <w:marTop w:val="0"/>
      <w:marBottom w:val="0"/>
      <w:divBdr>
        <w:top w:val="none" w:sz="0" w:space="0" w:color="auto"/>
        <w:left w:val="none" w:sz="0" w:space="0" w:color="auto"/>
        <w:bottom w:val="none" w:sz="0" w:space="0" w:color="auto"/>
        <w:right w:val="none" w:sz="0" w:space="0" w:color="auto"/>
      </w:divBdr>
    </w:div>
    <w:div w:id="1210412233">
      <w:bodyDiv w:val="1"/>
      <w:marLeft w:val="0"/>
      <w:marRight w:val="0"/>
      <w:marTop w:val="0"/>
      <w:marBottom w:val="0"/>
      <w:divBdr>
        <w:top w:val="none" w:sz="0" w:space="0" w:color="auto"/>
        <w:left w:val="none" w:sz="0" w:space="0" w:color="auto"/>
        <w:bottom w:val="none" w:sz="0" w:space="0" w:color="auto"/>
        <w:right w:val="none" w:sz="0" w:space="0" w:color="auto"/>
      </w:divBdr>
    </w:div>
    <w:div w:id="1631933927">
      <w:bodyDiv w:val="1"/>
      <w:marLeft w:val="0"/>
      <w:marRight w:val="0"/>
      <w:marTop w:val="0"/>
      <w:marBottom w:val="0"/>
      <w:divBdr>
        <w:top w:val="none" w:sz="0" w:space="0" w:color="auto"/>
        <w:left w:val="none" w:sz="0" w:space="0" w:color="auto"/>
        <w:bottom w:val="none" w:sz="0" w:space="0" w:color="auto"/>
        <w:right w:val="none" w:sz="0" w:space="0" w:color="auto"/>
      </w:divBdr>
    </w:div>
    <w:div w:id="1776635604">
      <w:bodyDiv w:val="1"/>
      <w:marLeft w:val="0"/>
      <w:marRight w:val="0"/>
      <w:marTop w:val="0"/>
      <w:marBottom w:val="0"/>
      <w:divBdr>
        <w:top w:val="none" w:sz="0" w:space="0" w:color="auto"/>
        <w:left w:val="none" w:sz="0" w:space="0" w:color="auto"/>
        <w:bottom w:val="none" w:sz="0" w:space="0" w:color="auto"/>
        <w:right w:val="none" w:sz="0" w:space="0" w:color="auto"/>
      </w:divBdr>
    </w:div>
    <w:div w:id="183163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4ED25-A40E-42F1-8CEA-F69BE000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3633</Words>
  <Characters>19622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Glautec</cp:lastModifiedBy>
  <cp:revision>14</cp:revision>
  <cp:lastPrinted>2024-05-14T14:27:00Z</cp:lastPrinted>
  <dcterms:created xsi:type="dcterms:W3CDTF">2024-06-20T19:50:00Z</dcterms:created>
  <dcterms:modified xsi:type="dcterms:W3CDTF">2024-10-28T16:56:00Z</dcterms:modified>
</cp:coreProperties>
</file>