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shd w:val="clear" w:color="auto" w:fill="1B3D95"/>
        <w:tblLook w:val="04A0" w:firstRow="1" w:lastRow="0" w:firstColumn="1" w:lastColumn="0" w:noHBand="0" w:noVBand="1"/>
      </w:tblPr>
      <w:tblGrid>
        <w:gridCol w:w="10773"/>
      </w:tblGrid>
      <w:tr w:rsidR="00E07C6F" w:rsidRPr="00E07C6F" w14:paraId="58FCEF06" w14:textId="77777777" w:rsidTr="00E07C6F">
        <w:tc>
          <w:tcPr>
            <w:tcW w:w="10773" w:type="dxa"/>
            <w:tcBorders>
              <w:top w:val="nil"/>
              <w:left w:val="nil"/>
              <w:bottom w:val="nil"/>
              <w:right w:val="nil"/>
            </w:tcBorders>
            <w:shd w:val="clear" w:color="auto" w:fill="1B3D95"/>
          </w:tcPr>
          <w:p w14:paraId="1DF19C11" w14:textId="77777777" w:rsidR="000A7913" w:rsidRPr="00E07C6F"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335513D3"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07C6F">
        <w:rPr>
          <w:rFonts w:ascii="Arial" w:hAnsi="Arial" w:cs="Arial"/>
        </w:rPr>
        <w:t>TOP 1 GEAR OIL EP</w:t>
      </w:r>
      <w:r w:rsidR="0007395E">
        <w:rPr>
          <w:rFonts w:ascii="Arial" w:hAnsi="Arial" w:cs="Arial"/>
        </w:rPr>
        <w:t xml:space="preserve"> </w:t>
      </w:r>
      <w:r w:rsidR="00A5397B">
        <w:rPr>
          <w:rFonts w:ascii="Arial" w:hAnsi="Arial" w:cs="Arial"/>
        </w:rPr>
        <w:t>SAE 140 API GL-5</w:t>
      </w:r>
    </w:p>
    <w:p w14:paraId="3CFC38EC" w14:textId="0E6EBE5C"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046C53" w:rsidRPr="00046C53">
        <w:rPr>
          <w:rFonts w:ascii="Arial" w:hAnsi="Arial" w:cs="Arial"/>
        </w:rPr>
        <w:t>Lubrificante mineral para caixa de transmissão e diferencial tipo hipoidal, para veículos de passeio, ônibus, caminhões e maquinas agrícolas.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1B7C38D4"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E07C6F">
        <w:tc>
          <w:tcPr>
            <w:tcW w:w="10773" w:type="dxa"/>
            <w:tcBorders>
              <w:top w:val="nil"/>
              <w:left w:val="nil"/>
              <w:bottom w:val="nil"/>
              <w:right w:val="nil"/>
            </w:tcBorders>
            <w:shd w:val="clear" w:color="auto" w:fill="1B3D95"/>
          </w:tcPr>
          <w:p w14:paraId="4B1FCB2B" w14:textId="77777777" w:rsidR="000A7913" w:rsidRPr="00E07C6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07C6F">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3B497A8D" w14:textId="77777777" w:rsidR="00875F67" w:rsidRDefault="00875F67" w:rsidP="00875F67">
      <w:pPr>
        <w:spacing w:line="360" w:lineRule="auto"/>
        <w:ind w:right="128"/>
        <w:jc w:val="both"/>
        <w:rPr>
          <w:rFonts w:ascii="Arial" w:hAnsi="Arial" w:cs="Arial"/>
        </w:rPr>
      </w:pPr>
      <w:r>
        <w:rPr>
          <w:rFonts w:ascii="Arial" w:hAnsi="Arial" w:cs="Arial"/>
          <w:b/>
        </w:rPr>
        <w:t xml:space="preserve">2.1. Classificação da substância/mistura: </w:t>
      </w:r>
    </w:p>
    <w:p w14:paraId="0CEF571B" w14:textId="77777777" w:rsidR="00875F67" w:rsidRDefault="00875F67" w:rsidP="00875F67">
      <w:pPr>
        <w:spacing w:line="276" w:lineRule="auto"/>
        <w:ind w:right="128"/>
        <w:jc w:val="both"/>
        <w:rPr>
          <w:rFonts w:ascii="Arial" w:hAnsi="Arial" w:cs="Arial"/>
        </w:rPr>
      </w:pPr>
      <w:r>
        <w:rPr>
          <w:rFonts w:ascii="Arial" w:hAnsi="Arial" w:cs="Arial"/>
        </w:rPr>
        <w:t>Sensibilização da pele – Categoria 1</w:t>
      </w:r>
    </w:p>
    <w:p w14:paraId="54ED5F27" w14:textId="77777777" w:rsidR="00875F67" w:rsidRDefault="00875F67" w:rsidP="00875F67">
      <w:pPr>
        <w:spacing w:line="276" w:lineRule="auto"/>
        <w:ind w:right="128"/>
        <w:jc w:val="both"/>
        <w:rPr>
          <w:rFonts w:ascii="Arial" w:hAnsi="Arial" w:cs="Arial"/>
        </w:rPr>
      </w:pPr>
      <w:r>
        <w:rPr>
          <w:rFonts w:ascii="Arial" w:hAnsi="Arial" w:cs="Arial"/>
        </w:rPr>
        <w:t>Perigoso ao ambiente aquático – Agudo – Categoria 2</w:t>
      </w:r>
    </w:p>
    <w:p w14:paraId="31684BC9" w14:textId="77777777" w:rsidR="00875F67" w:rsidRDefault="00875F67" w:rsidP="00875F67">
      <w:pPr>
        <w:spacing w:line="276" w:lineRule="auto"/>
        <w:ind w:right="128"/>
        <w:jc w:val="both"/>
        <w:rPr>
          <w:rFonts w:ascii="Arial" w:hAnsi="Arial" w:cs="Arial"/>
        </w:rPr>
      </w:pPr>
      <w:r>
        <w:rPr>
          <w:rFonts w:ascii="Arial" w:hAnsi="Arial" w:cs="Arial"/>
        </w:rPr>
        <w:t>Perigoso ao ambiente aquático – Crônico - Categoria 2</w:t>
      </w:r>
    </w:p>
    <w:p w14:paraId="09303816" w14:textId="77777777" w:rsidR="00875F67" w:rsidRDefault="00875F67" w:rsidP="00875F67">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19E46435" w14:textId="77777777" w:rsidR="00875F67" w:rsidRDefault="00875F67" w:rsidP="00875F67">
      <w:pPr>
        <w:spacing w:line="360" w:lineRule="auto"/>
        <w:ind w:right="128"/>
        <w:jc w:val="both"/>
        <w:rPr>
          <w:rFonts w:ascii="Arial" w:hAnsi="Arial" w:cs="Arial"/>
          <w:b/>
        </w:rPr>
      </w:pPr>
      <w:r>
        <w:rPr>
          <w:rFonts w:ascii="Arial" w:hAnsi="Arial" w:cs="Arial"/>
          <w:b/>
        </w:rPr>
        <w:t xml:space="preserve">2.3. Elementos de rotulagem do GHS, incluindo frases de precaução: </w:t>
      </w:r>
    </w:p>
    <w:p w14:paraId="69E51247" w14:textId="77777777" w:rsidR="00875F67" w:rsidRDefault="00875F67" w:rsidP="00875F67">
      <w:pPr>
        <w:spacing w:line="360" w:lineRule="auto"/>
        <w:ind w:right="128"/>
        <w:jc w:val="both"/>
        <w:rPr>
          <w:rFonts w:ascii="Arial" w:hAnsi="Arial" w:cs="Arial"/>
          <w:b/>
        </w:rPr>
      </w:pPr>
      <w:r>
        <w:rPr>
          <w:rFonts w:ascii="Arial" w:hAnsi="Arial" w:cs="Arial"/>
          <w:b/>
        </w:rPr>
        <w:t xml:space="preserve">Pictograma(s): </w:t>
      </w:r>
    </w:p>
    <w:p w14:paraId="13FB2382" w14:textId="75AC76BE" w:rsidR="00875F67" w:rsidRDefault="00875F67" w:rsidP="00875F67">
      <w:pPr>
        <w:spacing w:line="360" w:lineRule="auto"/>
        <w:ind w:right="128"/>
        <w:jc w:val="both"/>
        <w:rPr>
          <w:rFonts w:ascii="Arial" w:hAnsi="Arial" w:cs="Arial"/>
          <w:bCs/>
        </w:rPr>
      </w:pPr>
      <w:r>
        <w:rPr>
          <w:rFonts w:ascii="Arial" w:hAnsi="Arial" w:cs="Arial"/>
          <w:b/>
          <w:noProof/>
          <w:lang w:eastAsia="pt-BR"/>
        </w:rPr>
        <w:drawing>
          <wp:inline distT="0" distB="0" distL="0" distR="0" wp14:anchorId="6654853F" wp14:editId="0D40453A">
            <wp:extent cx="666750" cy="666750"/>
            <wp:effectExtent l="0" t="0" r="0" b="0"/>
            <wp:docPr id="41197005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szCs w:val="24"/>
          <w:lang w:eastAsia="pt-BR"/>
        </w:rPr>
        <w:drawing>
          <wp:inline distT="0" distB="0" distL="0" distR="0" wp14:anchorId="53889F06" wp14:editId="19DF4616">
            <wp:extent cx="666750" cy="666750"/>
            <wp:effectExtent l="0" t="0" r="0" b="0"/>
            <wp:docPr id="200175679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48DF36B" w14:textId="77777777" w:rsidR="00875F67" w:rsidRDefault="00875F67" w:rsidP="00875F67">
      <w:pPr>
        <w:spacing w:line="360" w:lineRule="auto"/>
        <w:ind w:right="128"/>
        <w:jc w:val="both"/>
        <w:rPr>
          <w:rFonts w:ascii="Arial" w:hAnsi="Arial" w:cs="Arial"/>
          <w:bCs/>
        </w:rPr>
      </w:pPr>
      <w:r>
        <w:rPr>
          <w:rFonts w:ascii="Arial" w:hAnsi="Arial" w:cs="Arial"/>
          <w:b/>
        </w:rPr>
        <w:t xml:space="preserve">Palavra de Advertência: </w:t>
      </w:r>
      <w:r>
        <w:rPr>
          <w:rFonts w:ascii="Arial" w:hAnsi="Arial" w:cs="Arial"/>
          <w:bCs/>
        </w:rPr>
        <w:t>ATENÇÃO</w:t>
      </w:r>
    </w:p>
    <w:p w14:paraId="74C00465" w14:textId="77777777" w:rsidR="00875F67" w:rsidRDefault="00875F67" w:rsidP="00875F67">
      <w:pPr>
        <w:spacing w:line="360" w:lineRule="auto"/>
        <w:ind w:right="128"/>
        <w:jc w:val="both"/>
        <w:rPr>
          <w:rFonts w:ascii="Arial" w:hAnsi="Arial" w:cs="Arial"/>
          <w:bCs/>
        </w:rPr>
      </w:pPr>
      <w:r>
        <w:rPr>
          <w:rFonts w:ascii="Arial" w:hAnsi="Arial" w:cs="Arial"/>
          <w:b/>
        </w:rPr>
        <w:t xml:space="preserve">Frase de perigo: </w:t>
      </w:r>
      <w:r>
        <w:rPr>
          <w:rFonts w:ascii="Arial" w:hAnsi="Arial" w:cs="Arial"/>
          <w:bCs/>
        </w:rPr>
        <w:t>H411: Tóxico para os organismos aquáticos, com efeitos prolongados. | H317: Pode provocar reações alérgicas na pele.</w:t>
      </w:r>
    </w:p>
    <w:p w14:paraId="05757D32" w14:textId="77777777" w:rsidR="00875F67" w:rsidRDefault="00875F67" w:rsidP="00875F67">
      <w:pPr>
        <w:spacing w:line="360" w:lineRule="auto"/>
        <w:ind w:right="128"/>
        <w:jc w:val="both"/>
        <w:rPr>
          <w:rFonts w:ascii="Arial" w:hAnsi="Arial" w:cs="Arial"/>
          <w:bCs/>
        </w:rPr>
      </w:pPr>
      <w:r>
        <w:rPr>
          <w:rFonts w:ascii="Arial" w:hAnsi="Arial" w:cs="Arial"/>
          <w:b/>
        </w:rPr>
        <w:lastRenderedPageBreak/>
        <w:t xml:space="preserve">Prevenção: </w:t>
      </w:r>
      <w:r>
        <w:rPr>
          <w:rFonts w:ascii="Arial" w:hAnsi="Arial" w:cs="Arial"/>
          <w:bCs/>
        </w:rPr>
        <w:t>P273: Evite a liberação para o meio ambiente | P261: Evite inalar névoas e vapores. | P272: A roupa de trabalho contaminada não pode sair do local de trabalho. | P280: Use luvas de proteção, roupa de proteção e proteção ocular</w:t>
      </w:r>
    </w:p>
    <w:p w14:paraId="0750AD3A" w14:textId="77777777" w:rsidR="00875F67" w:rsidRDefault="00875F67" w:rsidP="00875F67">
      <w:pPr>
        <w:spacing w:line="360" w:lineRule="auto"/>
        <w:ind w:right="128"/>
        <w:jc w:val="both"/>
        <w:rPr>
          <w:rFonts w:ascii="Arial" w:hAnsi="Arial" w:cs="Arial"/>
          <w:bCs/>
        </w:rPr>
      </w:pPr>
      <w:r>
        <w:rPr>
          <w:rFonts w:ascii="Arial" w:hAnsi="Arial" w:cs="Arial"/>
          <w:b/>
        </w:rPr>
        <w:t>Resposta a Emergência:</w:t>
      </w:r>
      <w:r>
        <w:rPr>
          <w:rFonts w:ascii="Arial" w:hAnsi="Arial" w:cs="Arial"/>
          <w:bCs/>
        </w:rPr>
        <w:t xml:space="preserve"> P302 + P352: EM CASO DE CONTATO COM A PELE: Lave com água e sabão em abundância. | P333 + P313: Em caso de irritação ou erupção cutânea: consulte um médico. | P321: Tratamento especifico. | P362 + P364: Retire a roupa contaminada. Lave-a antes de usar novamente.</w:t>
      </w:r>
    </w:p>
    <w:p w14:paraId="3D12372D" w14:textId="77777777" w:rsidR="00875F67" w:rsidRDefault="00875F67" w:rsidP="00875F67">
      <w:pPr>
        <w:spacing w:line="360" w:lineRule="auto"/>
        <w:ind w:right="128"/>
        <w:jc w:val="both"/>
        <w:rPr>
          <w:rFonts w:ascii="Arial" w:hAnsi="Arial" w:cs="Arial"/>
          <w:b/>
        </w:rPr>
      </w:pPr>
      <w:r>
        <w:rPr>
          <w:rFonts w:ascii="Arial" w:hAnsi="Arial" w:cs="Arial"/>
          <w:b/>
        </w:rPr>
        <w:t xml:space="preserve">Destinação final: </w:t>
      </w:r>
      <w:r>
        <w:rPr>
          <w:rFonts w:ascii="Arial" w:hAnsi="Arial" w:cs="Arial"/>
          <w:bCs/>
        </w:rPr>
        <w:t>P501: Descarte o conteúdo/recipiente de acordo com as normas locais.</w:t>
      </w:r>
    </w:p>
    <w:p w14:paraId="7EDBA085" w14:textId="77777777" w:rsidR="00875F67" w:rsidRDefault="00875F67" w:rsidP="00875F67">
      <w:pPr>
        <w:spacing w:line="360" w:lineRule="auto"/>
        <w:ind w:right="128"/>
        <w:jc w:val="both"/>
        <w:rPr>
          <w:rFonts w:ascii="Arial" w:hAnsi="Arial" w:cs="Arial"/>
        </w:rPr>
      </w:pPr>
      <w:r>
        <w:rPr>
          <w:rFonts w:ascii="Arial" w:hAnsi="Arial" w:cs="Arial"/>
          <w:b/>
        </w:rPr>
        <w:t xml:space="preserve">2.4. Outros perigos que não resultam em uma classificação: </w:t>
      </w:r>
      <w:r>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07C6F">
        <w:tc>
          <w:tcPr>
            <w:tcW w:w="10773" w:type="dxa"/>
            <w:shd w:val="clear" w:color="auto" w:fill="1B3D95"/>
          </w:tcPr>
          <w:p w14:paraId="11358F0E" w14:textId="77777777" w:rsidR="000A7913" w:rsidRPr="00E07C6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07C6F">
              <w:rPr>
                <w:rFonts w:ascii="Arial" w:hAnsi="Arial" w:cs="Arial"/>
                <w:b/>
                <w:color w:val="FFFFFF" w:themeColor="background1"/>
                <w:sz w:val="24"/>
                <w:szCs w:val="24"/>
              </w:rPr>
              <w:t>COMPOSIÇÃO E INFORMAÇÕES SOBRE OS INGREDIENTES</w:t>
            </w:r>
          </w:p>
        </w:tc>
      </w:tr>
    </w:tbl>
    <w:p w14:paraId="63B22338" w14:textId="77777777" w:rsidR="00750AB4" w:rsidRPr="00875F67" w:rsidRDefault="00750AB4" w:rsidP="00B06D60">
      <w:pPr>
        <w:tabs>
          <w:tab w:val="left" w:pos="5025"/>
        </w:tabs>
        <w:ind w:right="128"/>
        <w:jc w:val="both"/>
        <w:rPr>
          <w:rFonts w:ascii="Arial" w:hAnsi="Arial" w:cs="Arial"/>
          <w:sz w:val="12"/>
          <w:szCs w:val="12"/>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DF57E9" w:rsidRPr="00673589" w14:paraId="536BF5F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B5CBA9E" w14:textId="3B12D721" w:rsidR="00DF57E9" w:rsidRDefault="00DF57E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F700322" w14:textId="7889A210" w:rsidR="00DF57E9" w:rsidRDefault="00DF57E9"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3510FC" w14:textId="72E0BC13" w:rsidR="00DF57E9" w:rsidRDefault="001D6C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95,0</w:t>
            </w:r>
            <w:r w:rsidR="00073790">
              <w:rPr>
                <w:rFonts w:ascii="Arial" w:hAnsi="Arial" w:cs="Arial"/>
                <w:bCs/>
                <w:sz w:val="18"/>
                <w:szCs w:val="18"/>
              </w:rPr>
              <w:t xml:space="preserve"> – </w:t>
            </w:r>
            <w:r>
              <w:rPr>
                <w:rFonts w:ascii="Arial" w:hAnsi="Arial" w:cs="Arial"/>
                <w:bCs/>
                <w:sz w:val="18"/>
                <w:szCs w:val="18"/>
              </w:rPr>
              <w:t>98</w:t>
            </w:r>
            <w:r w:rsidR="00073790">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9D96105" w14:textId="50728056" w:rsidR="00DF57E9" w:rsidRPr="002C432A" w:rsidRDefault="00073790"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2AD988B" w:rsidR="00AB6E25" w:rsidRPr="00B97A17" w:rsidRDefault="00320B0B"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1</w:t>
            </w:r>
            <w:r w:rsidR="008340C1">
              <w:rPr>
                <w:rFonts w:ascii="Arial" w:hAnsi="Arial" w:cs="Arial"/>
                <w:bCs/>
                <w:sz w:val="18"/>
                <w:szCs w:val="18"/>
              </w:rPr>
              <w:t>,0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w:t>
            </w:r>
            <w:r>
              <w:rPr>
                <w:rFonts w:ascii="Arial" w:hAnsi="Arial" w:cs="Arial"/>
                <w:bCs/>
                <w:sz w:val="18"/>
                <w:szCs w:val="18"/>
              </w:rPr>
              <w:t>5</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2509A5" w14:textId="77777777" w:rsidR="00875F67" w:rsidRDefault="00875F67" w:rsidP="00875F67">
            <w:pPr>
              <w:widowControl w:val="0"/>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7EEFE6B7" w14:textId="77777777" w:rsidR="00875F67" w:rsidRDefault="00875F67" w:rsidP="00875F67">
            <w:pPr>
              <w:widowControl w:val="0"/>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 </w:t>
            </w:r>
          </w:p>
          <w:p w14:paraId="5472EA46" w14:textId="77777777" w:rsidR="00875F67" w:rsidRDefault="00875F67" w:rsidP="00875F67">
            <w:pPr>
              <w:widowControl w:val="0"/>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Agudo – Cat. 1, H400</w:t>
            </w:r>
          </w:p>
          <w:p w14:paraId="4932796D" w14:textId="2482FD39" w:rsidR="00800FE7" w:rsidRPr="00B97A17" w:rsidRDefault="00875F67" w:rsidP="00875F67">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Crônico – Cat. 1, H410</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86B71A0"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07C6F">
        <w:tc>
          <w:tcPr>
            <w:tcW w:w="10773" w:type="dxa"/>
            <w:shd w:val="clear" w:color="auto" w:fill="1B3D95"/>
          </w:tcPr>
          <w:p w14:paraId="116F88E0" w14:textId="77777777" w:rsidR="000A7913" w:rsidRPr="00E07C6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07C6F">
        <w:tc>
          <w:tcPr>
            <w:tcW w:w="10773" w:type="dxa"/>
            <w:shd w:val="clear" w:color="auto" w:fill="1B3D95"/>
          </w:tcPr>
          <w:p w14:paraId="634CD675" w14:textId="77777777" w:rsidR="000A7913" w:rsidRPr="00E07C6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29B60422" w14:textId="6BEA5226" w:rsidR="00875F6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07C6F">
        <w:tc>
          <w:tcPr>
            <w:tcW w:w="10773" w:type="dxa"/>
            <w:shd w:val="clear" w:color="auto" w:fill="1B3D95"/>
          </w:tcPr>
          <w:p w14:paraId="3E12BEA3" w14:textId="77777777" w:rsidR="000A7913" w:rsidRPr="00E07C6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0772163C" w14:textId="77777777" w:rsidR="00E41034" w:rsidRDefault="00E41034" w:rsidP="00B06D60">
      <w:pPr>
        <w:spacing w:line="360" w:lineRule="auto"/>
        <w:ind w:right="128"/>
        <w:jc w:val="both"/>
        <w:rPr>
          <w:rFonts w:ascii="Arial" w:hAnsi="Arial" w:cs="Arial"/>
          <w:b/>
        </w:rPr>
      </w:pP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07C6F">
        <w:tc>
          <w:tcPr>
            <w:tcW w:w="10773" w:type="dxa"/>
            <w:tcBorders>
              <w:top w:val="nil"/>
              <w:left w:val="nil"/>
              <w:bottom w:val="nil"/>
              <w:right w:val="nil"/>
            </w:tcBorders>
            <w:shd w:val="clear" w:color="auto" w:fill="1B3D95"/>
          </w:tcPr>
          <w:p w14:paraId="5BE987DF" w14:textId="77777777" w:rsidR="003F0640" w:rsidRPr="00E07C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57FDE336" w14:textId="77777777" w:rsidR="00E41034" w:rsidRDefault="00E41034" w:rsidP="00B06D60">
      <w:pPr>
        <w:spacing w:line="360" w:lineRule="auto"/>
        <w:ind w:right="128"/>
        <w:jc w:val="both"/>
        <w:rPr>
          <w:rFonts w:ascii="Arial" w:hAnsi="Arial" w:cs="Arial"/>
        </w:rPr>
      </w:pPr>
    </w:p>
    <w:p w14:paraId="39C64C83" w14:textId="77777777" w:rsidR="00E41034" w:rsidRDefault="00E41034"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E07C6F">
        <w:tc>
          <w:tcPr>
            <w:tcW w:w="10773" w:type="dxa"/>
            <w:tcBorders>
              <w:top w:val="nil"/>
              <w:left w:val="nil"/>
              <w:bottom w:val="nil"/>
              <w:right w:val="nil"/>
            </w:tcBorders>
            <w:shd w:val="clear" w:color="auto" w:fill="1B3D95"/>
          </w:tcPr>
          <w:p w14:paraId="307B99F9" w14:textId="77777777" w:rsidR="003F0640" w:rsidRPr="00E07C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46C53" w:rsidRDefault="005725A6" w:rsidP="00B06D60">
            <w:pPr>
              <w:tabs>
                <w:tab w:val="left" w:pos="5025"/>
              </w:tabs>
              <w:ind w:right="128"/>
              <w:rPr>
                <w:rFonts w:ascii="Arial" w:hAnsi="Arial" w:cs="Arial"/>
                <w:lang w:val="en-US"/>
              </w:rPr>
            </w:pPr>
            <w:r w:rsidRPr="00046C53">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BE3E0F" w:rsidRDefault="00062A55" w:rsidP="00B06D60">
      <w:pPr>
        <w:tabs>
          <w:tab w:val="left" w:pos="5025"/>
        </w:tabs>
        <w:ind w:right="128"/>
        <w:jc w:val="both"/>
        <w:rPr>
          <w:rFonts w:ascii="Arial" w:hAnsi="Arial" w:cs="Arial"/>
          <w:sz w:val="16"/>
          <w:szCs w:val="16"/>
        </w:rPr>
      </w:pPr>
    </w:p>
    <w:p w14:paraId="12ECCD46" w14:textId="77777777" w:rsidR="00875F67" w:rsidRDefault="00875F67" w:rsidP="00B06D60">
      <w:pPr>
        <w:tabs>
          <w:tab w:val="left" w:pos="5025"/>
        </w:tabs>
        <w:ind w:right="128"/>
        <w:jc w:val="both"/>
        <w:rPr>
          <w:rFonts w:ascii="Arial" w:hAnsi="Arial" w:cs="Arial"/>
          <w:b/>
          <w:bCs/>
          <w:sz w:val="24"/>
          <w:szCs w:val="24"/>
        </w:rPr>
      </w:pPr>
    </w:p>
    <w:p w14:paraId="7508CF9B" w14:textId="1DF674D5"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52E1C16D" w14:textId="3ECBAAB4" w:rsidR="00E4103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266089FE" w14:textId="77777777" w:rsidR="00E41034" w:rsidRPr="00344B19" w:rsidRDefault="00E41034"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E07C6F">
        <w:tc>
          <w:tcPr>
            <w:tcW w:w="10773" w:type="dxa"/>
            <w:tcBorders>
              <w:top w:val="nil"/>
              <w:left w:val="nil"/>
              <w:bottom w:val="nil"/>
              <w:right w:val="nil"/>
            </w:tcBorders>
            <w:shd w:val="clear" w:color="auto" w:fill="1B3D95"/>
          </w:tcPr>
          <w:p w14:paraId="6B2E7B77" w14:textId="77777777" w:rsidR="003F0640" w:rsidRPr="00E07C6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0BF29B08" w:rsidR="004D1CE4" w:rsidRPr="005F3FC6"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5F3FC6">
        <w:rPr>
          <w:rFonts w:ascii="Arial" w:hAnsi="Arial" w:cs="Arial"/>
        </w:rPr>
        <w:t>-6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766C2B36"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5F3FC6">
        <w:rPr>
          <w:rFonts w:ascii="Arial" w:hAnsi="Arial" w:cs="Arial"/>
          <w:bCs/>
        </w:rPr>
        <w:t>2</w:t>
      </w:r>
      <w:r w:rsidR="00A5397B">
        <w:rPr>
          <w:rFonts w:ascii="Arial" w:hAnsi="Arial" w:cs="Arial"/>
          <w:bCs/>
        </w:rPr>
        <w:t>28</w:t>
      </w:r>
      <w:r w:rsidR="005F3FC6">
        <w:rPr>
          <w:rFonts w:ascii="Arial" w:hAnsi="Arial" w:cs="Arial"/>
          <w:bCs/>
        </w:rPr>
        <w:t xml:space="preserve">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0A9E8D10"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A5397B">
        <w:rPr>
          <w:rFonts w:ascii="Arial" w:hAnsi="Arial" w:cs="Arial"/>
          <w:bCs/>
        </w:rPr>
        <w:t xml:space="preserve"> 450,1</w:t>
      </w:r>
      <w:r w:rsidR="00120E68" w:rsidRPr="00BE3E0F">
        <w:rPr>
          <w:rFonts w:ascii="Arial" w:hAnsi="Arial" w:cs="Arial"/>
          <w:bCs/>
        </w:rPr>
        <w:t xml:space="preserve"> cSt</w:t>
      </w:r>
    </w:p>
    <w:p w14:paraId="0D8A1051" w14:textId="7E626E3D"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A5397B">
        <w:rPr>
          <w:rFonts w:ascii="Arial" w:hAnsi="Arial" w:cs="Arial"/>
          <w:bCs/>
        </w:rPr>
        <w:t>30,1</w:t>
      </w:r>
      <w:r w:rsidR="005F3FC6">
        <w:rPr>
          <w:rFonts w:ascii="Arial" w:hAnsi="Arial" w:cs="Arial"/>
          <w:bCs/>
        </w:rPr>
        <w:t xml:space="preserve">1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1D507357"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w:t>
      </w:r>
      <w:r w:rsidR="005F3FC6">
        <w:rPr>
          <w:rFonts w:ascii="Arial" w:hAnsi="Arial" w:cs="Arial"/>
          <w:bCs/>
        </w:rPr>
        <w:t>900</w:t>
      </w:r>
      <w:r w:rsidR="005B198F" w:rsidRPr="00BE3E0F">
        <w:rPr>
          <w:rFonts w:ascii="Arial" w:hAnsi="Arial" w:cs="Arial"/>
          <w:bCs/>
        </w:rPr>
        <w:t xml:space="preserve"> g/cm³.</w:t>
      </w:r>
    </w:p>
    <w:p w14:paraId="565F4C92" w14:textId="77777777" w:rsidR="00BE3E0F" w:rsidRPr="00344B19" w:rsidRDefault="00BE3E0F" w:rsidP="00BE3E0F">
      <w:pPr>
        <w:spacing w:after="0" w:line="360" w:lineRule="auto"/>
        <w:ind w:right="128"/>
        <w:jc w:val="both"/>
        <w:rPr>
          <w:rFonts w:ascii="Arial" w:hAnsi="Arial" w:cs="Arial"/>
          <w:b/>
        </w:rPr>
      </w:pPr>
    </w:p>
    <w:p w14:paraId="5C9E30E5" w14:textId="1023E7A5"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07C6F">
        <w:tc>
          <w:tcPr>
            <w:tcW w:w="10773" w:type="dxa"/>
            <w:tcBorders>
              <w:top w:val="nil"/>
              <w:left w:val="nil"/>
              <w:bottom w:val="nil"/>
              <w:right w:val="nil"/>
            </w:tcBorders>
            <w:shd w:val="clear" w:color="auto" w:fill="1B3D95"/>
          </w:tcPr>
          <w:p w14:paraId="1BC3A2C4" w14:textId="2A6C17EE" w:rsidR="003F0640" w:rsidRPr="00E07C6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 xml:space="preserve"> </w:t>
            </w:r>
            <w:r w:rsidR="00062A55" w:rsidRPr="00E07C6F">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7CD36165"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3BDAAF84" w14:textId="77777777" w:rsidR="00E41034" w:rsidRPr="00344B19" w:rsidRDefault="00E41034"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4D44CEED" w14:textId="77777777" w:rsidTr="00E07C6F">
        <w:tc>
          <w:tcPr>
            <w:tcW w:w="10773" w:type="dxa"/>
            <w:tcBorders>
              <w:top w:val="nil"/>
              <w:left w:val="nil"/>
              <w:bottom w:val="nil"/>
              <w:right w:val="nil"/>
            </w:tcBorders>
            <w:shd w:val="clear" w:color="auto" w:fill="1B3D95"/>
          </w:tcPr>
          <w:p w14:paraId="264C0411" w14:textId="40A7B858" w:rsidR="003F0640" w:rsidRPr="00E07C6F" w:rsidRDefault="004D1CE4" w:rsidP="00B06D60">
            <w:p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 xml:space="preserve">11. </w:t>
            </w:r>
            <w:r w:rsidR="00062A55" w:rsidRPr="00E07C6F">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1D8154B5" w:rsidR="00344B19" w:rsidRPr="0061630F"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980558" w:rsidRPr="00980558">
        <w:rPr>
          <w:rFonts w:ascii="Arial" w:hAnsi="Arial" w:cs="Arial"/>
        </w:rPr>
        <w:t>Provoca irritação à pele com vermelhidão, dor e ressecamento.</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29DCF120" w14:textId="77777777" w:rsidR="00875F67" w:rsidRDefault="00875F67" w:rsidP="00875F67">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Produto sensibilizante da pele. Segredo Industrial contém </w:t>
      </w:r>
      <w:proofErr w:type="spellStart"/>
      <w:r>
        <w:rPr>
          <w:rFonts w:ascii="Arial" w:hAnsi="Arial" w:cs="Arial"/>
        </w:rPr>
        <w:t>Polisulfito</w:t>
      </w:r>
      <w:proofErr w:type="spellEnd"/>
      <w:r>
        <w:rPr>
          <w:rFonts w:ascii="Arial" w:hAnsi="Arial" w:cs="Arial"/>
        </w:rPr>
        <w:t xml:space="preserve"> de olefina – Sensibilizante da pele (Categoria 1/H317) e Ésteres de ácido alquila fósforo – Sensibilizante da pele (Categoria1/H317). Produto não é um sensibilizante respiratório.</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6E3E2053" w14:textId="3871E706" w:rsidR="00BE3E0F" w:rsidRPr="00E1265F"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72415810" w14:textId="175E7305" w:rsidR="00E1265F" w:rsidRPr="005F3FC6"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w:t>
      </w:r>
      <w:bookmarkStart w:id="1" w:name="_GoBack"/>
      <w:bookmarkEnd w:id="1"/>
      <w:r w:rsidRPr="006A1361">
        <w:rPr>
          <w:rFonts w:ascii="Arial" w:hAnsi="Arial" w:cs="Arial"/>
          <w:sz w:val="18"/>
          <w:szCs w:val="18"/>
        </w:rPr>
        <w:t>eas foram ambos de 100%. Na necropsia não houve achados consistentes e os animais foram considerados normais. Os pesos dos órgãos e a histopatologia foram considerados normais.</w:t>
      </w:r>
    </w:p>
    <w:p w14:paraId="2881E22B" w14:textId="1E7E66FA"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61739B66"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E1265F" w:rsidRPr="00E1265F">
        <w:rPr>
          <w:rFonts w:ascii="Arial" w:hAnsi="Arial" w:cs="Arial"/>
        </w:rPr>
        <w:t>Não classificado como tóxico para órgãos-alvo específicos – Exposição repetida</w:t>
      </w:r>
      <w:r w:rsidR="00E1265F">
        <w:rPr>
          <w:rFonts w:ascii="Arial" w:hAnsi="Arial" w:cs="Arial"/>
        </w:rPr>
        <w:t>, entretanto o</w:t>
      </w:r>
      <w:r w:rsidR="00E1265F" w:rsidRPr="00E1265F">
        <w:rPr>
          <w:rFonts w:ascii="Arial" w:hAnsi="Arial" w:cs="Arial"/>
        </w:rPr>
        <w:t xml:space="preserve"> segredo industrial contido nesta mistura possui componentes de composição desconhecida, presentes em concentrações de 1,0 a 5,0%, que são classificados como Toxicidade para órgãos-alvo específicos - Exposição repetida - Categoria 2, conforme a FDS da matéria-prima.</w:t>
      </w:r>
    </w:p>
    <w:p w14:paraId="5672C707" w14:textId="4F8C3CA9" w:rsidR="00875F67"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19743ED0" w14:textId="77777777" w:rsidR="00875F67" w:rsidRDefault="00875F67" w:rsidP="00B06D60">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E07C6F">
        <w:tc>
          <w:tcPr>
            <w:tcW w:w="10773" w:type="dxa"/>
            <w:tcBorders>
              <w:top w:val="nil"/>
              <w:left w:val="nil"/>
              <w:bottom w:val="nil"/>
              <w:right w:val="nil"/>
            </w:tcBorders>
            <w:shd w:val="clear" w:color="auto" w:fill="1B3D95"/>
          </w:tcPr>
          <w:p w14:paraId="6179F9F3" w14:textId="77777777" w:rsidR="00062A55" w:rsidRPr="00E07C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3959775" w14:textId="77777777" w:rsidR="00875F67" w:rsidRDefault="00875F67" w:rsidP="00875F67">
      <w:pPr>
        <w:shd w:val="clear" w:color="auto" w:fill="FFFFFF"/>
        <w:spacing w:after="140" w:line="360" w:lineRule="auto"/>
        <w:ind w:right="128"/>
        <w:jc w:val="both"/>
        <w:rPr>
          <w:rFonts w:ascii="Arial" w:hAnsi="Arial" w:cs="Arial"/>
          <w:bCs/>
        </w:rPr>
      </w:pPr>
      <w:r>
        <w:rPr>
          <w:rFonts w:ascii="Arial" w:hAnsi="Arial" w:cs="Arial"/>
          <w:b/>
        </w:rPr>
        <w:t xml:space="preserve">12.5. Ecotoxicidade: </w:t>
      </w:r>
      <w:r>
        <w:rPr>
          <w:rFonts w:ascii="Arial" w:hAnsi="Arial" w:cs="Arial"/>
          <w:bCs/>
        </w:rPr>
        <w:t xml:space="preserve">Tóxico para os organismos aquáticos, com efeitos prolongados. Segredo Industrial contém os ingredientes Fosfato de alquila, sais de </w:t>
      </w:r>
      <w:proofErr w:type="spellStart"/>
      <w:r>
        <w:rPr>
          <w:rFonts w:ascii="Arial" w:hAnsi="Arial" w:cs="Arial"/>
          <w:bCs/>
        </w:rPr>
        <w:t>alquenila</w:t>
      </w:r>
      <w:proofErr w:type="spellEnd"/>
      <w:r>
        <w:rPr>
          <w:rFonts w:ascii="Arial" w:hAnsi="Arial" w:cs="Arial"/>
          <w:bCs/>
        </w:rPr>
        <w:t xml:space="preserve"> </w:t>
      </w:r>
      <w:proofErr w:type="spellStart"/>
      <w:r>
        <w:rPr>
          <w:rFonts w:ascii="Arial" w:hAnsi="Arial" w:cs="Arial"/>
          <w:bCs/>
        </w:rPr>
        <w:t>amila</w:t>
      </w:r>
      <w:proofErr w:type="spellEnd"/>
      <w:r>
        <w:rPr>
          <w:rFonts w:ascii="Arial" w:hAnsi="Arial" w:cs="Arial"/>
          <w:bCs/>
        </w:rPr>
        <w:t xml:space="preserve"> e </w:t>
      </w:r>
      <w:proofErr w:type="spellStart"/>
      <w:r>
        <w:rPr>
          <w:rFonts w:ascii="Arial" w:hAnsi="Arial" w:cs="Arial"/>
          <w:bCs/>
        </w:rPr>
        <w:t>Ditiotiadiazol</w:t>
      </w:r>
      <w:proofErr w:type="spellEnd"/>
      <w:r>
        <w:rPr>
          <w:rFonts w:ascii="Arial" w:hAnsi="Arial" w:cs="Arial"/>
          <w:bCs/>
        </w:rPr>
        <w:t xml:space="preserve"> de alquila que contribuem para essa característica.</w:t>
      </w:r>
    </w:p>
    <w:p w14:paraId="406C6804" w14:textId="77777777" w:rsidR="00875F67" w:rsidRDefault="00875F67" w:rsidP="00875F67">
      <w:pPr>
        <w:shd w:val="clear" w:color="auto" w:fill="FFFFFF"/>
        <w:spacing w:after="140"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24B17F45" w14:textId="77777777" w:rsidTr="00E07C6F">
        <w:tc>
          <w:tcPr>
            <w:tcW w:w="10773" w:type="dxa"/>
            <w:tcBorders>
              <w:top w:val="nil"/>
              <w:left w:val="nil"/>
              <w:bottom w:val="nil"/>
              <w:right w:val="nil"/>
            </w:tcBorders>
            <w:shd w:val="clear" w:color="auto" w:fill="1B3D95"/>
          </w:tcPr>
          <w:p w14:paraId="119538D2" w14:textId="00B2BC4E" w:rsidR="00062A55" w:rsidRPr="00E07C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CONSIDERA</w:t>
            </w:r>
            <w:r w:rsidR="00301FAA" w:rsidRPr="00E07C6F">
              <w:rPr>
                <w:rFonts w:ascii="Arial" w:hAnsi="Arial" w:cs="Arial"/>
                <w:b/>
                <w:color w:val="FFFFFF" w:themeColor="background1"/>
                <w:sz w:val="24"/>
                <w:szCs w:val="24"/>
              </w:rPr>
              <w:t>ÇÕES</w:t>
            </w:r>
            <w:r w:rsidRPr="00E07C6F">
              <w:rPr>
                <w:rFonts w:ascii="Arial" w:hAnsi="Arial" w:cs="Arial"/>
                <w:b/>
                <w:color w:val="FFFFFF" w:themeColor="background1"/>
                <w:sz w:val="24"/>
                <w:szCs w:val="24"/>
              </w:rPr>
              <w:t xml:space="preserve"> SOBRE DESTINAÇÃO FINAL</w:t>
            </w:r>
          </w:p>
        </w:tc>
      </w:tr>
    </w:tbl>
    <w:p w14:paraId="486C4FA2" w14:textId="77777777" w:rsidR="00062A55" w:rsidRPr="00875F67" w:rsidRDefault="00062A55" w:rsidP="00B06D60">
      <w:pPr>
        <w:tabs>
          <w:tab w:val="left" w:pos="5025"/>
        </w:tabs>
        <w:ind w:right="128"/>
        <w:jc w:val="both"/>
        <w:rPr>
          <w:rFonts w:ascii="Arial" w:hAnsi="Arial" w:cs="Arial"/>
          <w:sz w:val="14"/>
          <w:szCs w:val="1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FA38FE6" w14:textId="1A38D365"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07C6F">
        <w:tc>
          <w:tcPr>
            <w:tcW w:w="10773" w:type="dxa"/>
            <w:tcBorders>
              <w:top w:val="nil"/>
              <w:left w:val="nil"/>
              <w:bottom w:val="nil"/>
              <w:right w:val="nil"/>
            </w:tcBorders>
            <w:shd w:val="clear" w:color="auto" w:fill="1B3D95"/>
          </w:tcPr>
          <w:p w14:paraId="482F1D1E" w14:textId="77777777" w:rsidR="00062A55" w:rsidRPr="00E07C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E07C6F">
        <w:tc>
          <w:tcPr>
            <w:tcW w:w="10773" w:type="dxa"/>
            <w:tcBorders>
              <w:top w:val="nil"/>
              <w:left w:val="nil"/>
              <w:bottom w:val="nil"/>
              <w:right w:val="nil"/>
            </w:tcBorders>
            <w:shd w:val="clear" w:color="auto" w:fill="1B3D95"/>
          </w:tcPr>
          <w:p w14:paraId="43788E9D" w14:textId="77777777" w:rsidR="00062A55" w:rsidRPr="00E07C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05DB9991" w14:textId="5B5DFCE6" w:rsidR="00BE3E0F" w:rsidRPr="00F63402" w:rsidRDefault="00B23895" w:rsidP="00F63402">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E07C6F">
        <w:tc>
          <w:tcPr>
            <w:tcW w:w="10773" w:type="dxa"/>
            <w:tcBorders>
              <w:top w:val="nil"/>
              <w:left w:val="nil"/>
              <w:bottom w:val="nil"/>
              <w:right w:val="nil"/>
            </w:tcBorders>
            <w:shd w:val="clear" w:color="auto" w:fill="1B3D95"/>
          </w:tcPr>
          <w:p w14:paraId="5DE797C2" w14:textId="77777777" w:rsidR="00062A55" w:rsidRPr="00E07C6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07C6F">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549EFBCF"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A0C81B8" w14:textId="77777777" w:rsidR="00E41034" w:rsidRPr="006F3264" w:rsidRDefault="00E41034"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00AB1F6E" w14:textId="3FBBD9CC" w:rsidR="005F3FC6" w:rsidRPr="00F63402" w:rsidRDefault="006F3264" w:rsidP="00F63402">
      <w:pPr>
        <w:spacing w:after="0" w:line="240" w:lineRule="auto"/>
        <w:ind w:right="128"/>
        <w:jc w:val="center"/>
        <w:rPr>
          <w:rFonts w:ascii="Arial" w:hAnsi="Arial" w:cs="Arial"/>
        </w:rPr>
      </w:pPr>
      <w:r w:rsidRPr="006F3264">
        <w:rPr>
          <w:rFonts w:ascii="Arial" w:hAnsi="Arial" w:cs="Arial"/>
        </w:rPr>
        <w:t xml:space="preserve">IBAMA: (61)3316-1677 / 3316-1212 </w:t>
      </w:r>
    </w:p>
    <w:p w14:paraId="4F889F5E" w14:textId="77777777" w:rsidR="00930692" w:rsidRPr="00B23895" w:rsidRDefault="00930692"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TLV</w:t>
      </w:r>
      <w:r w:rsidRPr="00046C53">
        <w:rPr>
          <w:rFonts w:ascii="Arial" w:hAnsi="Arial" w:cs="Arial"/>
          <w:lang w:val="en-US"/>
        </w:rPr>
        <w:t xml:space="preserve"> - Threshold Limit Value</w:t>
      </w:r>
      <w:r w:rsidR="00C0684D" w:rsidRPr="00046C53">
        <w:rPr>
          <w:rFonts w:ascii="Arial" w:hAnsi="Arial" w:cs="Arial"/>
          <w:lang w:val="en-US"/>
        </w:rPr>
        <w:t xml:space="preserve"> </w:t>
      </w:r>
    </w:p>
    <w:p w14:paraId="4BC7A1E6" w14:textId="20158851"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TWA</w:t>
      </w:r>
      <w:r w:rsidRPr="00046C53">
        <w:rPr>
          <w:rFonts w:ascii="Arial" w:hAnsi="Arial" w:cs="Arial"/>
          <w:lang w:val="en-US"/>
        </w:rPr>
        <w:t xml:space="preserve"> - Time-Weighted Average</w:t>
      </w:r>
    </w:p>
    <w:p w14:paraId="751B6064" w14:textId="3EF776F1" w:rsidR="00B42B2B" w:rsidRPr="00046C53" w:rsidRDefault="00B42B2B" w:rsidP="00B06D60">
      <w:pPr>
        <w:spacing w:line="240" w:lineRule="auto"/>
        <w:ind w:right="128"/>
        <w:jc w:val="both"/>
        <w:rPr>
          <w:rFonts w:ascii="Arial" w:hAnsi="Arial" w:cs="Arial"/>
          <w:lang w:val="en-US"/>
        </w:rPr>
      </w:pPr>
      <w:r w:rsidRPr="00046C53">
        <w:rPr>
          <w:rFonts w:ascii="Arial" w:hAnsi="Arial" w:cs="Arial"/>
          <w:b/>
          <w:bCs/>
          <w:lang w:val="en-US"/>
        </w:rPr>
        <w:t>PEL</w:t>
      </w:r>
      <w:r w:rsidRPr="00046C53">
        <w:rPr>
          <w:rFonts w:ascii="Arial" w:hAnsi="Arial" w:cs="Arial"/>
          <w:lang w:val="en-US"/>
        </w:rPr>
        <w:t xml:space="preserve"> - Permissible Exposure Limits</w:t>
      </w:r>
      <w:r w:rsidR="00C0684D" w:rsidRPr="00046C53">
        <w:rPr>
          <w:rFonts w:ascii="Arial" w:hAnsi="Arial" w:cs="Arial"/>
          <w:lang w:val="en-US"/>
        </w:rPr>
        <w:t xml:space="preserve"> </w:t>
      </w:r>
    </w:p>
    <w:p w14:paraId="02AF20F3" w14:textId="3566AC94" w:rsidR="00B42B2B" w:rsidRPr="00046C53" w:rsidRDefault="00C0684D" w:rsidP="00B06D60">
      <w:pPr>
        <w:spacing w:line="240" w:lineRule="auto"/>
        <w:ind w:right="128"/>
        <w:jc w:val="both"/>
        <w:rPr>
          <w:rFonts w:ascii="Arial" w:hAnsi="Arial" w:cs="Arial"/>
          <w:lang w:val="en-US"/>
        </w:rPr>
      </w:pPr>
      <w:r w:rsidRPr="00046C53">
        <w:rPr>
          <w:rFonts w:ascii="Arial" w:hAnsi="Arial" w:cs="Arial"/>
          <w:b/>
          <w:bCs/>
          <w:lang w:val="en-US"/>
        </w:rPr>
        <w:t>REL</w:t>
      </w:r>
      <w:r w:rsidRPr="00046C53">
        <w:rPr>
          <w:rFonts w:ascii="Arial" w:hAnsi="Arial" w:cs="Arial"/>
          <w:lang w:val="en-US"/>
        </w:rPr>
        <w:t xml:space="preserve"> - Recommended Exposure Limits </w:t>
      </w:r>
    </w:p>
    <w:p w14:paraId="0DB31D89" w14:textId="77777777" w:rsidR="00566CE0" w:rsidRPr="00046C53"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46C53" w:rsidRDefault="00B951C9"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46C53" w:rsidRDefault="00B951C9"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Base de dados da NIOSH - National Institute for Occupational Safety and Health</w:t>
      </w:r>
      <w:r w:rsidR="00110133" w:rsidRPr="00046C53">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46C53">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046C53" w:rsidRDefault="00110133" w:rsidP="00B06D60">
      <w:pPr>
        <w:pStyle w:val="PargrafodaLista"/>
        <w:numPr>
          <w:ilvl w:val="0"/>
          <w:numId w:val="13"/>
        </w:numPr>
        <w:spacing w:line="360" w:lineRule="auto"/>
        <w:ind w:right="128"/>
        <w:jc w:val="both"/>
        <w:rPr>
          <w:rFonts w:ascii="Arial" w:hAnsi="Arial" w:cs="Arial"/>
          <w:lang w:val="en-US"/>
        </w:rPr>
      </w:pPr>
      <w:r w:rsidRPr="00046C53">
        <w:rPr>
          <w:rFonts w:ascii="Arial" w:hAnsi="Arial" w:cs="Arial"/>
          <w:lang w:val="en-US"/>
        </w:rPr>
        <w:t>UN Model Regulations Rev. 23 (2023). United Nations, 2023</w:t>
      </w:r>
    </w:p>
    <w:sectPr w:rsidR="0033164F" w:rsidRPr="00046C53" w:rsidSect="00875F67">
      <w:headerReference w:type="default" r:id="rId14"/>
      <w:footerReference w:type="default" r:id="rId15"/>
      <w:pgSz w:w="11906" w:h="16838"/>
      <w:pgMar w:top="2369" w:right="720" w:bottom="720" w:left="426" w:header="33"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CA0AE0">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FA84" w14:textId="77777777" w:rsidR="00E07C6F" w:rsidRDefault="00E07C6F" w:rsidP="00E07C6F">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21A9A9D6" wp14:editId="04E543FF">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C0CDB18" w14:textId="77777777" w:rsidR="00E07C6F" w:rsidRPr="009A1389" w:rsidRDefault="00E07C6F" w:rsidP="00E07C6F">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1A9A9D6"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C0CDB18" w14:textId="77777777" w:rsidR="00E07C6F" w:rsidRPr="009A1389" w:rsidRDefault="00E07C6F" w:rsidP="00E07C6F">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78C068C6" w14:textId="77777777" w:rsidR="00E07C6F" w:rsidRPr="009A1389" w:rsidRDefault="00E07C6F" w:rsidP="00E07C6F">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6A6E4B86" wp14:editId="2454553C">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895099283" name="Imagem 18950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0880776F" w14:textId="77777777" w:rsidR="00E07C6F" w:rsidRDefault="00E07C6F" w:rsidP="00E07C6F">
    <w:pPr>
      <w:pStyle w:val="Cabealho"/>
      <w:spacing w:line="276" w:lineRule="auto"/>
      <w:ind w:left="850" w:right="-449" w:hanging="1134"/>
      <w:jc w:val="center"/>
      <w:rPr>
        <w:noProof/>
      </w:rPr>
    </w:pPr>
  </w:p>
  <w:p w14:paraId="43728868" w14:textId="77777777" w:rsidR="00E07C6F" w:rsidRPr="005661E9" w:rsidRDefault="00E07C6F" w:rsidP="00E07C6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1BE7E8A2" w14:textId="77777777" w:rsidR="00E07C6F" w:rsidRDefault="00E07C6F" w:rsidP="00E07C6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2AD44314" w14:textId="77777777" w:rsidR="00E07C6F" w:rsidRPr="009A1389" w:rsidRDefault="00E07C6F" w:rsidP="00E07C6F">
    <w:pPr>
      <w:pStyle w:val="Cabealho"/>
      <w:tabs>
        <w:tab w:val="clear" w:pos="4252"/>
        <w:tab w:val="center" w:pos="3686"/>
      </w:tabs>
      <w:ind w:right="1546"/>
      <w:jc w:val="center"/>
      <w:rPr>
        <w:rFonts w:ascii="Myanmar Text" w:hAnsi="Myanmar Text" w:cs="Myanmar Text"/>
        <w:bCs/>
        <w:sz w:val="10"/>
        <w:szCs w:val="14"/>
      </w:rPr>
    </w:pPr>
  </w:p>
  <w:p w14:paraId="2C1E20E5" w14:textId="34983837" w:rsidR="00E07C6F" w:rsidRPr="00E41034" w:rsidRDefault="00E07C6F" w:rsidP="00E07C6F">
    <w:pPr>
      <w:pStyle w:val="Cabealho"/>
      <w:tabs>
        <w:tab w:val="clear" w:pos="4252"/>
        <w:tab w:val="center" w:pos="3686"/>
      </w:tabs>
      <w:ind w:left="850" w:right="1546" w:hanging="1134"/>
      <w:jc w:val="center"/>
      <w:rPr>
        <w:rFonts w:ascii="Myanmar Text" w:hAnsi="Myanmar Text" w:cs="Myanmar Text"/>
        <w:bCs/>
        <w:sz w:val="28"/>
        <w:szCs w:val="36"/>
        <w:lang w:val="en-US"/>
      </w:rPr>
    </w:pPr>
    <w:r w:rsidRPr="00E41034">
      <w:rPr>
        <w:rFonts w:ascii="Myanmar Text" w:hAnsi="Myanmar Text" w:cs="Myanmar Text"/>
        <w:bCs/>
        <w:sz w:val="28"/>
        <w:szCs w:val="36"/>
        <w:lang w:val="en-US"/>
      </w:rPr>
      <w:t>TOP 1 GEAR OIL EP SAE 140 API GL-5</w:t>
    </w:r>
  </w:p>
  <w:bookmarkEnd w:id="3"/>
  <w:p w14:paraId="1AE0C7BC" w14:textId="77777777" w:rsidR="00E07C6F" w:rsidRPr="00E41034" w:rsidRDefault="00E07C6F" w:rsidP="00E07C6F">
    <w:pPr>
      <w:pStyle w:val="Cabealho"/>
      <w:ind w:left="850" w:right="-449" w:hanging="1134"/>
      <w:jc w:val="center"/>
      <w:rPr>
        <w:rFonts w:ascii="Myanmar Text" w:hAnsi="Myanmar Text" w:cs="Myanmar Text"/>
        <w:bCs/>
        <w:sz w:val="6"/>
        <w:szCs w:val="10"/>
        <w:lang w:val="en-US"/>
      </w:rPr>
    </w:pPr>
  </w:p>
  <w:p w14:paraId="3C5B4945" w14:textId="77777777" w:rsidR="00E07C6F" w:rsidRPr="00E41034" w:rsidRDefault="00E07C6F" w:rsidP="00E07C6F">
    <w:pPr>
      <w:pStyle w:val="Cabealho"/>
      <w:ind w:left="850" w:right="-449" w:hanging="1134"/>
      <w:jc w:val="center"/>
      <w:rPr>
        <w:rFonts w:ascii="Myanmar Text" w:hAnsi="Myanmar Text" w:cs="Myanmar Text"/>
        <w:bCs/>
        <w:sz w:val="16"/>
        <w:szCs w:val="2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52569472" wp14:editId="5E89B559">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615087891" name="Imagem 61508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1034">
      <w:rPr>
        <w:rFonts w:ascii="Myanmar Text" w:hAnsi="Myanmar Text" w:cs="Myanmar Text"/>
        <w:bCs/>
        <w:sz w:val="16"/>
        <w:szCs w:val="20"/>
        <w:lang w:val="en-US"/>
      </w:rPr>
      <w:t xml:space="preserve">                                                                                                                                                  </w:t>
    </w:r>
  </w:p>
  <w:p w14:paraId="1516AAF8" w14:textId="77777777" w:rsidR="00E07C6F" w:rsidRPr="00E41034" w:rsidRDefault="00E07C6F" w:rsidP="00E07C6F">
    <w:pPr>
      <w:pStyle w:val="Cabealho"/>
      <w:ind w:left="850" w:right="-449" w:hanging="1134"/>
      <w:jc w:val="center"/>
      <w:rPr>
        <w:rFonts w:ascii="Myanmar Text" w:hAnsi="Myanmar Text" w:cs="Myanmar Text"/>
        <w:bCs/>
        <w:sz w:val="12"/>
        <w:szCs w:val="16"/>
        <w:lang w:val="en-US"/>
      </w:rPr>
    </w:pPr>
  </w:p>
  <w:p w14:paraId="30DE393A" w14:textId="025C4387" w:rsidR="00046C53" w:rsidRPr="00E41034" w:rsidRDefault="00046C53" w:rsidP="00E07C6F">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B91CF05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A9083F7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C3CABA34"/>
    <w:lvl w:ilvl="0" w:tplc="F2D0D35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4"/>
  </w:num>
  <w:num w:numId="10">
    <w:abstractNumId w:val="6"/>
  </w:num>
  <w:num w:numId="11">
    <w:abstractNumId w:val="10"/>
  </w:num>
  <w:num w:numId="12">
    <w:abstractNumId w:val="3"/>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6C53"/>
    <w:rsid w:val="00062A55"/>
    <w:rsid w:val="00064093"/>
    <w:rsid w:val="00073790"/>
    <w:rsid w:val="0007395E"/>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D6CCD"/>
    <w:rsid w:val="001F59EB"/>
    <w:rsid w:val="0020042C"/>
    <w:rsid w:val="00201C42"/>
    <w:rsid w:val="00217BEE"/>
    <w:rsid w:val="00223E8B"/>
    <w:rsid w:val="00242843"/>
    <w:rsid w:val="002462F3"/>
    <w:rsid w:val="00246E20"/>
    <w:rsid w:val="002477DD"/>
    <w:rsid w:val="00251E04"/>
    <w:rsid w:val="0026583A"/>
    <w:rsid w:val="002775F5"/>
    <w:rsid w:val="002B5EB4"/>
    <w:rsid w:val="002C432A"/>
    <w:rsid w:val="002C634A"/>
    <w:rsid w:val="002D5AD3"/>
    <w:rsid w:val="002F462E"/>
    <w:rsid w:val="00301FAA"/>
    <w:rsid w:val="00305A55"/>
    <w:rsid w:val="00310476"/>
    <w:rsid w:val="00312BD1"/>
    <w:rsid w:val="00320B0B"/>
    <w:rsid w:val="00325259"/>
    <w:rsid w:val="0033164F"/>
    <w:rsid w:val="0033569E"/>
    <w:rsid w:val="0034322C"/>
    <w:rsid w:val="003445BB"/>
    <w:rsid w:val="00344B19"/>
    <w:rsid w:val="00352B56"/>
    <w:rsid w:val="003632F0"/>
    <w:rsid w:val="00376D1A"/>
    <w:rsid w:val="003805AC"/>
    <w:rsid w:val="003B204D"/>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349F1"/>
    <w:rsid w:val="00543E69"/>
    <w:rsid w:val="005661E9"/>
    <w:rsid w:val="00566CE0"/>
    <w:rsid w:val="005725A6"/>
    <w:rsid w:val="00576DDD"/>
    <w:rsid w:val="00583DAC"/>
    <w:rsid w:val="00584180"/>
    <w:rsid w:val="0059224D"/>
    <w:rsid w:val="0059247B"/>
    <w:rsid w:val="005A56A1"/>
    <w:rsid w:val="005B198F"/>
    <w:rsid w:val="005B5C4F"/>
    <w:rsid w:val="005B7DEB"/>
    <w:rsid w:val="005D7C5F"/>
    <w:rsid w:val="005E31A9"/>
    <w:rsid w:val="005F145F"/>
    <w:rsid w:val="005F3FC6"/>
    <w:rsid w:val="006017AB"/>
    <w:rsid w:val="0061630F"/>
    <w:rsid w:val="00621678"/>
    <w:rsid w:val="006266D6"/>
    <w:rsid w:val="00636B56"/>
    <w:rsid w:val="006401B8"/>
    <w:rsid w:val="006406C8"/>
    <w:rsid w:val="00642C49"/>
    <w:rsid w:val="0064522E"/>
    <w:rsid w:val="006457C7"/>
    <w:rsid w:val="00655BE0"/>
    <w:rsid w:val="00665A7A"/>
    <w:rsid w:val="00666C6D"/>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450D2"/>
    <w:rsid w:val="007502AB"/>
    <w:rsid w:val="00750AB4"/>
    <w:rsid w:val="0076361B"/>
    <w:rsid w:val="007658CF"/>
    <w:rsid w:val="00766ECC"/>
    <w:rsid w:val="00775675"/>
    <w:rsid w:val="00790DFE"/>
    <w:rsid w:val="007959F0"/>
    <w:rsid w:val="007A38A5"/>
    <w:rsid w:val="007C70E5"/>
    <w:rsid w:val="007E1133"/>
    <w:rsid w:val="00800FE7"/>
    <w:rsid w:val="00802FEF"/>
    <w:rsid w:val="008077BC"/>
    <w:rsid w:val="008141A4"/>
    <w:rsid w:val="00816CEC"/>
    <w:rsid w:val="0082429A"/>
    <w:rsid w:val="008340C1"/>
    <w:rsid w:val="00835454"/>
    <w:rsid w:val="00844918"/>
    <w:rsid w:val="0084565A"/>
    <w:rsid w:val="00864490"/>
    <w:rsid w:val="00875BB5"/>
    <w:rsid w:val="00875F67"/>
    <w:rsid w:val="0087753C"/>
    <w:rsid w:val="00894724"/>
    <w:rsid w:val="008A4B70"/>
    <w:rsid w:val="008E0044"/>
    <w:rsid w:val="008F0C74"/>
    <w:rsid w:val="008F7B8F"/>
    <w:rsid w:val="009269FF"/>
    <w:rsid w:val="00927CF4"/>
    <w:rsid w:val="00930692"/>
    <w:rsid w:val="00931725"/>
    <w:rsid w:val="00935C9A"/>
    <w:rsid w:val="009511F3"/>
    <w:rsid w:val="00980558"/>
    <w:rsid w:val="00981B57"/>
    <w:rsid w:val="009A1389"/>
    <w:rsid w:val="009C173C"/>
    <w:rsid w:val="009D7B70"/>
    <w:rsid w:val="009E4BC9"/>
    <w:rsid w:val="00A361C4"/>
    <w:rsid w:val="00A52290"/>
    <w:rsid w:val="00A5397B"/>
    <w:rsid w:val="00A6429C"/>
    <w:rsid w:val="00A77816"/>
    <w:rsid w:val="00A91159"/>
    <w:rsid w:val="00AB25F0"/>
    <w:rsid w:val="00AB3064"/>
    <w:rsid w:val="00AB5B90"/>
    <w:rsid w:val="00AB6E25"/>
    <w:rsid w:val="00AC29AD"/>
    <w:rsid w:val="00AE7CCC"/>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468E0"/>
    <w:rsid w:val="00C555C8"/>
    <w:rsid w:val="00C55760"/>
    <w:rsid w:val="00C56343"/>
    <w:rsid w:val="00C70CF6"/>
    <w:rsid w:val="00C7241D"/>
    <w:rsid w:val="00C82D34"/>
    <w:rsid w:val="00C83E7D"/>
    <w:rsid w:val="00C87395"/>
    <w:rsid w:val="00CA0AE0"/>
    <w:rsid w:val="00CC64A5"/>
    <w:rsid w:val="00CD56DB"/>
    <w:rsid w:val="00CD6C5A"/>
    <w:rsid w:val="00D0261D"/>
    <w:rsid w:val="00D37984"/>
    <w:rsid w:val="00D76C27"/>
    <w:rsid w:val="00D879BE"/>
    <w:rsid w:val="00D97E5F"/>
    <w:rsid w:val="00DA350B"/>
    <w:rsid w:val="00DB2830"/>
    <w:rsid w:val="00DC6991"/>
    <w:rsid w:val="00DF57E9"/>
    <w:rsid w:val="00DF7A48"/>
    <w:rsid w:val="00E05313"/>
    <w:rsid w:val="00E07C6F"/>
    <w:rsid w:val="00E119AD"/>
    <w:rsid w:val="00E1265F"/>
    <w:rsid w:val="00E22623"/>
    <w:rsid w:val="00E24E23"/>
    <w:rsid w:val="00E41034"/>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3402"/>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9439">
      <w:bodyDiv w:val="1"/>
      <w:marLeft w:val="0"/>
      <w:marRight w:val="0"/>
      <w:marTop w:val="0"/>
      <w:marBottom w:val="0"/>
      <w:divBdr>
        <w:top w:val="none" w:sz="0" w:space="0" w:color="auto"/>
        <w:left w:val="none" w:sz="0" w:space="0" w:color="auto"/>
        <w:bottom w:val="none" w:sz="0" w:space="0" w:color="auto"/>
        <w:right w:val="none" w:sz="0" w:space="0" w:color="auto"/>
      </w:divBdr>
    </w:div>
    <w:div w:id="140580162">
      <w:bodyDiv w:val="1"/>
      <w:marLeft w:val="0"/>
      <w:marRight w:val="0"/>
      <w:marTop w:val="0"/>
      <w:marBottom w:val="0"/>
      <w:divBdr>
        <w:top w:val="none" w:sz="0" w:space="0" w:color="auto"/>
        <w:left w:val="none" w:sz="0" w:space="0" w:color="auto"/>
        <w:bottom w:val="none" w:sz="0" w:space="0" w:color="auto"/>
        <w:right w:val="none" w:sz="0" w:space="0" w:color="auto"/>
      </w:divBdr>
    </w:div>
    <w:div w:id="157162008">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278493061">
      <w:bodyDiv w:val="1"/>
      <w:marLeft w:val="0"/>
      <w:marRight w:val="0"/>
      <w:marTop w:val="0"/>
      <w:marBottom w:val="0"/>
      <w:divBdr>
        <w:top w:val="none" w:sz="0" w:space="0" w:color="auto"/>
        <w:left w:val="none" w:sz="0" w:space="0" w:color="auto"/>
        <w:bottom w:val="none" w:sz="0" w:space="0" w:color="auto"/>
        <w:right w:val="none" w:sz="0" w:space="0" w:color="auto"/>
      </w:divBdr>
    </w:div>
    <w:div w:id="302076263">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082411436">
      <w:bodyDiv w:val="1"/>
      <w:marLeft w:val="0"/>
      <w:marRight w:val="0"/>
      <w:marTop w:val="0"/>
      <w:marBottom w:val="0"/>
      <w:divBdr>
        <w:top w:val="none" w:sz="0" w:space="0" w:color="auto"/>
        <w:left w:val="none" w:sz="0" w:space="0" w:color="auto"/>
        <w:bottom w:val="none" w:sz="0" w:space="0" w:color="auto"/>
        <w:right w:val="none" w:sz="0" w:space="0" w:color="auto"/>
      </w:divBdr>
    </w:div>
    <w:div w:id="1242643751">
      <w:bodyDiv w:val="1"/>
      <w:marLeft w:val="0"/>
      <w:marRight w:val="0"/>
      <w:marTop w:val="0"/>
      <w:marBottom w:val="0"/>
      <w:divBdr>
        <w:top w:val="none" w:sz="0" w:space="0" w:color="auto"/>
        <w:left w:val="none" w:sz="0" w:space="0" w:color="auto"/>
        <w:bottom w:val="none" w:sz="0" w:space="0" w:color="auto"/>
        <w:right w:val="none" w:sz="0" w:space="0" w:color="auto"/>
      </w:divBdr>
    </w:div>
    <w:div w:id="1442332730">
      <w:bodyDiv w:val="1"/>
      <w:marLeft w:val="0"/>
      <w:marRight w:val="0"/>
      <w:marTop w:val="0"/>
      <w:marBottom w:val="0"/>
      <w:divBdr>
        <w:top w:val="none" w:sz="0" w:space="0" w:color="auto"/>
        <w:left w:val="none" w:sz="0" w:space="0" w:color="auto"/>
        <w:bottom w:val="none" w:sz="0" w:space="0" w:color="auto"/>
        <w:right w:val="none" w:sz="0" w:space="0" w:color="auto"/>
      </w:divBdr>
    </w:div>
    <w:div w:id="1834491114">
      <w:bodyDiv w:val="1"/>
      <w:marLeft w:val="0"/>
      <w:marRight w:val="0"/>
      <w:marTop w:val="0"/>
      <w:marBottom w:val="0"/>
      <w:divBdr>
        <w:top w:val="none" w:sz="0" w:space="0" w:color="auto"/>
        <w:left w:val="none" w:sz="0" w:space="0" w:color="auto"/>
        <w:bottom w:val="none" w:sz="0" w:space="0" w:color="auto"/>
        <w:right w:val="none" w:sz="0" w:space="0" w:color="auto"/>
      </w:divBdr>
    </w:div>
    <w:div w:id="20712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F4100-2802-4D4E-B3B0-BB0D93DE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3632</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14</cp:revision>
  <cp:lastPrinted>2024-05-14T14:27:00Z</cp:lastPrinted>
  <dcterms:created xsi:type="dcterms:W3CDTF">2024-06-20T19:50:00Z</dcterms:created>
  <dcterms:modified xsi:type="dcterms:W3CDTF">2025-03-03T18:29:00Z</dcterms:modified>
</cp:coreProperties>
</file>