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C9218A">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C9218A">
              <w:rPr>
                <w:rFonts w:ascii="Arial" w:hAnsi="Arial" w:cs="Arial"/>
                <w:b/>
                <w:color w:val="000000" w:themeColor="text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2D0D314C" w:rsidR="00AB6E25" w:rsidRPr="00C9218A" w:rsidRDefault="00AB6E25" w:rsidP="00B06D60">
      <w:pPr>
        <w:spacing w:line="240" w:lineRule="auto"/>
        <w:ind w:right="128"/>
        <w:jc w:val="both"/>
        <w:rPr>
          <w:rFonts w:ascii="Arial" w:hAnsi="Arial" w:cs="Arial"/>
        </w:rPr>
      </w:pPr>
      <w:bookmarkStart w:id="0" w:name="_Hlk165988096"/>
      <w:r w:rsidRPr="00F55C3E">
        <w:rPr>
          <w:rFonts w:ascii="Arial" w:hAnsi="Arial" w:cs="Arial"/>
          <w:b/>
        </w:rPr>
        <w:t>Identificação do produto:</w:t>
      </w:r>
      <w:r w:rsidRPr="00C9218A">
        <w:rPr>
          <w:rFonts w:ascii="Arial" w:hAnsi="Arial" w:cs="Arial"/>
        </w:rPr>
        <w:t xml:space="preserve"> </w:t>
      </w:r>
      <w:r w:rsidR="00F55C3E" w:rsidRPr="00F55C3E">
        <w:rPr>
          <w:rFonts w:ascii="Arial" w:hAnsi="Arial" w:cs="Arial"/>
        </w:rPr>
        <w:t>EXTRON TRACTOR FLUID SAE 10W30</w:t>
      </w:r>
    </w:p>
    <w:p w14:paraId="2AA603F5" w14:textId="3B4F4287" w:rsidR="00AB6E25" w:rsidRPr="00AB6E25"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303319">
        <w:rPr>
          <w:rFonts w:ascii="Arial" w:hAnsi="Arial" w:cs="Arial"/>
        </w:rPr>
        <w:t>L</w:t>
      </w:r>
      <w:r w:rsidR="00303319" w:rsidRPr="00303319">
        <w:rPr>
          <w:rFonts w:ascii="Arial" w:hAnsi="Arial" w:cs="Arial"/>
        </w:rPr>
        <w:t>ubrificante mineral de alto desempenho desenvolvido para aplicação em tratores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C9218A">
        <w:tc>
          <w:tcPr>
            <w:tcW w:w="10773" w:type="dxa"/>
            <w:tcBorders>
              <w:top w:val="nil"/>
              <w:left w:val="nil"/>
              <w:bottom w:val="nil"/>
              <w:right w:val="nil"/>
            </w:tcBorders>
            <w:shd w:val="clear" w:color="auto" w:fill="FF9900"/>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C9218A">
              <w:rPr>
                <w:rFonts w:ascii="Arial" w:hAnsi="Arial" w:cs="Arial"/>
                <w:b/>
                <w:color w:val="000000" w:themeColor="text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4845E873" w14:textId="04C6F2C6" w:rsidR="00202633" w:rsidRDefault="00202633" w:rsidP="00B41803">
      <w:pPr>
        <w:spacing w:line="360" w:lineRule="auto"/>
        <w:ind w:right="128"/>
        <w:jc w:val="both"/>
        <w:rPr>
          <w:rFonts w:ascii="Arial" w:hAnsi="Arial" w:cs="Arial"/>
        </w:rPr>
      </w:pPr>
      <w:r w:rsidRPr="00202633">
        <w:rPr>
          <w:rFonts w:ascii="Arial" w:hAnsi="Arial" w:cs="Arial"/>
        </w:rPr>
        <w:t>Sensibilização da pele - Categoria 1</w:t>
      </w:r>
      <w:r w:rsidR="00E80F21">
        <w:rPr>
          <w:rFonts w:ascii="Arial" w:hAnsi="Arial" w:cs="Arial"/>
        </w:rPr>
        <w:t>B</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3BC98143"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E82029">
        <w:rPr>
          <w:rFonts w:ascii="Arial" w:hAnsi="Arial" w:cs="Arial"/>
          <w:b/>
          <w:noProof/>
        </w:rPr>
        <w:drawing>
          <wp:inline distT="0" distB="0" distL="0" distR="0" wp14:anchorId="536793BF" wp14:editId="635EF5F4">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532995EC" w14:textId="7777777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6BB067E1" w14:textId="3D85DFBC" w:rsidR="00004AF8" w:rsidRDefault="00BB1302" w:rsidP="00B41803">
      <w:pPr>
        <w:spacing w:line="360" w:lineRule="auto"/>
        <w:ind w:right="128"/>
        <w:jc w:val="both"/>
        <w:rPr>
          <w:rFonts w:ascii="Arial" w:hAnsi="Arial" w:cs="Arial"/>
          <w:bCs/>
        </w:rPr>
      </w:pPr>
      <w:r w:rsidRPr="00202633">
        <w:rPr>
          <w:rFonts w:ascii="Arial" w:hAnsi="Arial" w:cs="Arial"/>
          <w:b/>
        </w:rPr>
        <w:t xml:space="preserve">Frase de perigo: </w:t>
      </w:r>
      <w:r w:rsidR="00202633" w:rsidRPr="00202633">
        <w:rPr>
          <w:rFonts w:ascii="Arial" w:hAnsi="Arial" w:cs="Arial"/>
          <w:bCs/>
        </w:rPr>
        <w:t>H317</w:t>
      </w:r>
      <w:r w:rsidR="00202633">
        <w:rPr>
          <w:rFonts w:ascii="Arial" w:hAnsi="Arial" w:cs="Arial"/>
          <w:bCs/>
        </w:rPr>
        <w:t>:</w:t>
      </w:r>
      <w:r w:rsidR="00202633" w:rsidRPr="00202633">
        <w:rPr>
          <w:rFonts w:ascii="Arial" w:hAnsi="Arial" w:cs="Arial"/>
          <w:bCs/>
        </w:rPr>
        <w:t xml:space="preserve"> Pode provocar reações alérgicas na pele.</w:t>
      </w:r>
    </w:p>
    <w:p w14:paraId="1F2508E2" w14:textId="77777777" w:rsidR="00E82029"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Pr="00202633">
        <w:rPr>
          <w:rFonts w:ascii="Arial" w:hAnsi="Arial" w:cs="Arial"/>
          <w:bCs/>
        </w:rPr>
        <w:t>P261</w:t>
      </w:r>
      <w:r>
        <w:rPr>
          <w:rFonts w:ascii="Arial" w:hAnsi="Arial" w:cs="Arial"/>
          <w:bCs/>
        </w:rPr>
        <w:t>:</w:t>
      </w:r>
      <w:r w:rsidRPr="00202633">
        <w:rPr>
          <w:rFonts w:ascii="Arial" w:hAnsi="Arial" w:cs="Arial"/>
          <w:bCs/>
        </w:rPr>
        <w:t xml:space="preserve"> Evite inalar poeiras/fumos/gases/névoas/vapores/aerossóis.</w:t>
      </w:r>
      <w:r>
        <w:rPr>
          <w:rFonts w:ascii="Arial" w:hAnsi="Arial" w:cs="Arial"/>
          <w:bCs/>
        </w:rPr>
        <w:t xml:space="preserve"> | </w:t>
      </w:r>
      <w:r w:rsidRPr="00202633">
        <w:rPr>
          <w:rFonts w:ascii="Arial" w:hAnsi="Arial" w:cs="Arial"/>
          <w:bCs/>
        </w:rPr>
        <w:t>P272</w:t>
      </w:r>
      <w:r>
        <w:rPr>
          <w:rFonts w:ascii="Arial" w:hAnsi="Arial" w:cs="Arial"/>
          <w:bCs/>
        </w:rPr>
        <w:t>:</w:t>
      </w:r>
      <w:r w:rsidRPr="00202633">
        <w:rPr>
          <w:rFonts w:ascii="Arial" w:hAnsi="Arial" w:cs="Arial"/>
          <w:bCs/>
        </w:rPr>
        <w:t xml:space="preserve"> A roupa de trabalho contaminada não pode sair do local de trabalho.</w:t>
      </w:r>
      <w:r>
        <w:rPr>
          <w:rFonts w:ascii="Arial" w:hAnsi="Arial" w:cs="Arial"/>
          <w:bCs/>
        </w:rPr>
        <w:t xml:space="preserve"> | </w:t>
      </w:r>
      <w:r w:rsidRPr="00202633">
        <w:rPr>
          <w:rFonts w:ascii="Arial" w:hAnsi="Arial" w:cs="Arial"/>
          <w:bCs/>
        </w:rPr>
        <w:t>P280</w:t>
      </w:r>
      <w:r>
        <w:rPr>
          <w:rFonts w:ascii="Arial" w:hAnsi="Arial" w:cs="Arial"/>
          <w:bCs/>
        </w:rPr>
        <w:t>:</w:t>
      </w:r>
      <w:r w:rsidRPr="00202633">
        <w:rPr>
          <w:rFonts w:ascii="Arial" w:hAnsi="Arial" w:cs="Arial"/>
          <w:bCs/>
        </w:rPr>
        <w:t xml:space="preserve"> Use luvas de proteção, roupa de proteção, proteção ocular, proteção facial e proteção</w:t>
      </w:r>
      <w:r>
        <w:rPr>
          <w:rFonts w:ascii="Arial" w:hAnsi="Arial" w:cs="Arial"/>
          <w:bCs/>
        </w:rPr>
        <w:t xml:space="preserve"> </w:t>
      </w:r>
      <w:r w:rsidRPr="00202633">
        <w:rPr>
          <w:rFonts w:ascii="Arial" w:hAnsi="Arial" w:cs="Arial"/>
          <w:bCs/>
        </w:rPr>
        <w:t>auricular.</w:t>
      </w:r>
    </w:p>
    <w:p w14:paraId="271BF99D" w14:textId="77777777" w:rsidR="00E82029" w:rsidRDefault="00E82029" w:rsidP="00202633">
      <w:pPr>
        <w:spacing w:line="360" w:lineRule="auto"/>
        <w:ind w:right="128"/>
        <w:jc w:val="both"/>
        <w:rPr>
          <w:rFonts w:ascii="Arial" w:hAnsi="Arial" w:cs="Arial"/>
          <w:bCs/>
        </w:rPr>
      </w:pPr>
    </w:p>
    <w:p w14:paraId="7C5A731E" w14:textId="77777777" w:rsidR="00E82029" w:rsidRPr="00E82029" w:rsidRDefault="00E82029" w:rsidP="00202633">
      <w:pPr>
        <w:spacing w:line="360" w:lineRule="auto"/>
        <w:ind w:right="128"/>
        <w:jc w:val="both"/>
        <w:rPr>
          <w:rFonts w:ascii="Arial" w:hAnsi="Arial" w:cs="Arial"/>
          <w:bCs/>
          <w:sz w:val="18"/>
          <w:szCs w:val="18"/>
        </w:rPr>
      </w:pPr>
    </w:p>
    <w:p w14:paraId="1AD07EC5" w14:textId="34FF49B3" w:rsidR="00202633" w:rsidRDefault="00BB1302" w:rsidP="00202633">
      <w:pPr>
        <w:spacing w:line="360" w:lineRule="auto"/>
        <w:ind w:right="128"/>
        <w:jc w:val="both"/>
        <w:rPr>
          <w:rFonts w:ascii="Arial" w:hAnsi="Arial" w:cs="Arial"/>
          <w:bCs/>
        </w:rPr>
      </w:pPr>
      <w:r w:rsidRPr="00202633">
        <w:rPr>
          <w:rFonts w:ascii="Arial" w:hAnsi="Arial" w:cs="Arial"/>
          <w:b/>
        </w:rPr>
        <w:t>Resposta a Emergência:</w:t>
      </w:r>
      <w:r w:rsidRPr="00202633">
        <w:rPr>
          <w:rFonts w:ascii="Arial" w:hAnsi="Arial" w:cs="Arial"/>
          <w:bCs/>
        </w:rPr>
        <w:t xml:space="preserve"> </w:t>
      </w:r>
      <w:r w:rsidR="00202633" w:rsidRPr="00202633">
        <w:rPr>
          <w:rFonts w:ascii="Arial" w:hAnsi="Arial" w:cs="Arial"/>
          <w:bCs/>
        </w:rPr>
        <w:t>P302 + P352</w:t>
      </w:r>
      <w:r w:rsidR="00202633">
        <w:rPr>
          <w:rFonts w:ascii="Arial" w:hAnsi="Arial" w:cs="Arial"/>
          <w:bCs/>
        </w:rPr>
        <w:t>:</w:t>
      </w:r>
      <w:r w:rsidR="00202633" w:rsidRPr="00202633">
        <w:rPr>
          <w:rFonts w:ascii="Arial" w:hAnsi="Arial" w:cs="Arial"/>
          <w:bCs/>
        </w:rPr>
        <w:t xml:space="preserve"> EM CASO DE CONTATO COM A PELE: Lave com água em abundância.</w:t>
      </w:r>
      <w:r w:rsidR="00202633">
        <w:rPr>
          <w:rFonts w:ascii="Arial" w:hAnsi="Arial" w:cs="Arial"/>
          <w:bCs/>
        </w:rPr>
        <w:t xml:space="preserve"> | </w:t>
      </w:r>
      <w:r w:rsidR="00202633" w:rsidRPr="00202633">
        <w:rPr>
          <w:rFonts w:ascii="Arial" w:hAnsi="Arial" w:cs="Arial"/>
          <w:bCs/>
        </w:rPr>
        <w:t>P321</w:t>
      </w:r>
      <w:r w:rsidR="00202633">
        <w:rPr>
          <w:rFonts w:ascii="Arial" w:hAnsi="Arial" w:cs="Arial"/>
          <w:bCs/>
        </w:rPr>
        <w:t>:</w:t>
      </w:r>
      <w:r w:rsidR="00202633" w:rsidRPr="00202633">
        <w:rPr>
          <w:rFonts w:ascii="Arial" w:hAnsi="Arial" w:cs="Arial"/>
          <w:bCs/>
        </w:rPr>
        <w:t xml:space="preserve"> Tratamento específico.</w:t>
      </w:r>
      <w:r w:rsidR="00202633">
        <w:rPr>
          <w:rFonts w:ascii="Arial" w:hAnsi="Arial" w:cs="Arial"/>
          <w:bCs/>
        </w:rPr>
        <w:t xml:space="preserve"> | </w:t>
      </w:r>
      <w:r w:rsidR="00202633" w:rsidRPr="00202633">
        <w:rPr>
          <w:rFonts w:ascii="Arial" w:hAnsi="Arial" w:cs="Arial"/>
          <w:bCs/>
        </w:rPr>
        <w:t>P333 + P313</w:t>
      </w:r>
      <w:r w:rsidR="00202633">
        <w:rPr>
          <w:rFonts w:ascii="Arial" w:hAnsi="Arial" w:cs="Arial"/>
          <w:bCs/>
        </w:rPr>
        <w:t>:</w:t>
      </w:r>
      <w:r w:rsidR="00202633" w:rsidRPr="00202633">
        <w:rPr>
          <w:rFonts w:ascii="Arial" w:hAnsi="Arial" w:cs="Arial"/>
          <w:bCs/>
        </w:rPr>
        <w:t xml:space="preserve"> Em caso de irritação ou erupção cutânea: consulte um médico.</w:t>
      </w:r>
      <w:r w:rsidR="00202633">
        <w:rPr>
          <w:rFonts w:ascii="Arial" w:hAnsi="Arial" w:cs="Arial"/>
          <w:bCs/>
        </w:rPr>
        <w:t xml:space="preserve"> | </w:t>
      </w:r>
      <w:r w:rsidR="00202633" w:rsidRPr="00202633">
        <w:rPr>
          <w:rFonts w:ascii="Arial" w:hAnsi="Arial" w:cs="Arial"/>
          <w:bCs/>
        </w:rPr>
        <w:t>P362 + P364</w:t>
      </w:r>
      <w:r w:rsidR="00202633">
        <w:rPr>
          <w:rFonts w:ascii="Arial" w:hAnsi="Arial" w:cs="Arial"/>
          <w:bCs/>
        </w:rPr>
        <w:t>:</w:t>
      </w:r>
      <w:r w:rsidR="00202633" w:rsidRPr="00202633">
        <w:rPr>
          <w:rFonts w:ascii="Arial" w:hAnsi="Arial" w:cs="Arial"/>
          <w:bCs/>
        </w:rPr>
        <w:t xml:space="preserve"> Retire a roupa contaminada. Lave-a antes de usar novamente.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03C728EB" w:rsidR="005D42C7"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C9218A">
        <w:tc>
          <w:tcPr>
            <w:tcW w:w="10773" w:type="dxa"/>
            <w:shd w:val="clear" w:color="auto" w:fill="FF9900"/>
          </w:tcPr>
          <w:p w14:paraId="11358F0E" w14:textId="77777777" w:rsidR="000A7913" w:rsidRPr="00C9218A" w:rsidRDefault="000A7913" w:rsidP="00B06D60">
            <w:pPr>
              <w:pStyle w:val="PargrafodaLista"/>
              <w:numPr>
                <w:ilvl w:val="0"/>
                <w:numId w:val="3"/>
              </w:numPr>
              <w:tabs>
                <w:tab w:val="left" w:pos="5025"/>
              </w:tabs>
              <w:ind w:right="128"/>
              <w:rPr>
                <w:rFonts w:ascii="Arial" w:hAnsi="Arial" w:cs="Arial"/>
                <w:b/>
                <w:color w:val="000000" w:themeColor="text1"/>
                <w:sz w:val="24"/>
                <w:szCs w:val="24"/>
              </w:rPr>
            </w:pPr>
            <w:r w:rsidRPr="00C9218A">
              <w:rPr>
                <w:rFonts w:ascii="Arial" w:hAnsi="Arial" w:cs="Arial"/>
                <w:b/>
                <w:color w:val="000000" w:themeColor="text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5488FE33" w:rsidR="00AB6E25" w:rsidRPr="00B97A17" w:rsidRDefault="00A83BCD"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50</w:t>
            </w:r>
            <w:r w:rsidR="00D2720D">
              <w:rPr>
                <w:rFonts w:ascii="Arial" w:hAnsi="Arial" w:cs="Arial"/>
                <w:bCs/>
                <w:sz w:val="18"/>
                <w:szCs w:val="18"/>
              </w:rPr>
              <w:t xml:space="preserve">,0 – </w:t>
            </w:r>
            <w:r>
              <w:rPr>
                <w:rFonts w:ascii="Arial" w:hAnsi="Arial" w:cs="Arial"/>
                <w:bCs/>
                <w:sz w:val="18"/>
                <w:szCs w:val="18"/>
              </w:rPr>
              <w:t>65</w:t>
            </w:r>
            <w:r w:rsidR="00D2720D">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2DBE4032" w:rsidR="00AB6E25" w:rsidRPr="002C432A" w:rsidRDefault="0035097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D2720D" w:rsidRPr="00673589" w14:paraId="39EF9E8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83376D" w14:textId="5BB716C7"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F23BAC" w14:textId="6AE7202E" w:rsidR="00D2720D" w:rsidRDefault="00D2720D" w:rsidP="00D2720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CE7FE9C" w14:textId="6B293EFF" w:rsidR="00D2720D" w:rsidRDefault="005821B5" w:rsidP="00D2720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00D2720D">
              <w:rPr>
                <w:rFonts w:ascii="Arial" w:hAnsi="Arial" w:cs="Arial"/>
                <w:bCs/>
                <w:sz w:val="18"/>
                <w:szCs w:val="18"/>
              </w:rPr>
              <w:t>,</w:t>
            </w:r>
            <w:r>
              <w:rPr>
                <w:rFonts w:ascii="Arial" w:hAnsi="Arial" w:cs="Arial"/>
                <w:bCs/>
                <w:sz w:val="18"/>
                <w:szCs w:val="18"/>
              </w:rPr>
              <w:t>0</w:t>
            </w:r>
            <w:r w:rsidR="00D2720D">
              <w:rPr>
                <w:rFonts w:ascii="Arial" w:hAnsi="Arial" w:cs="Arial"/>
                <w:bCs/>
                <w:sz w:val="18"/>
                <w:szCs w:val="18"/>
              </w:rPr>
              <w:t xml:space="preserve">0 – </w:t>
            </w:r>
            <w:r w:rsidR="00774EDC">
              <w:rPr>
                <w:rFonts w:ascii="Arial" w:hAnsi="Arial" w:cs="Arial"/>
                <w:bCs/>
                <w:sz w:val="18"/>
                <w:szCs w:val="18"/>
              </w:rPr>
              <w:t>2</w:t>
            </w:r>
            <w:r w:rsidR="00A83BCD">
              <w:rPr>
                <w:rFonts w:ascii="Arial" w:hAnsi="Arial" w:cs="Arial"/>
                <w:bCs/>
                <w:sz w:val="18"/>
                <w:szCs w:val="18"/>
              </w:rPr>
              <w:t>3</w:t>
            </w:r>
            <w:r w:rsidR="00D2720D">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1FB1A9" w14:textId="7F8E07C3" w:rsidR="00D2720D" w:rsidRPr="002C432A" w:rsidRDefault="00D2720D" w:rsidP="00D2720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1B29481" w:rsidR="00E5200F" w:rsidRPr="00B97A17" w:rsidRDefault="00A83BC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5</w:t>
            </w:r>
            <w:r w:rsidR="00D2720D">
              <w:rPr>
                <w:rFonts w:ascii="Arial" w:hAnsi="Arial" w:cs="Arial"/>
                <w:bCs/>
                <w:sz w:val="18"/>
                <w:szCs w:val="18"/>
              </w:rPr>
              <w:t>,0</w:t>
            </w:r>
            <w:r>
              <w:rPr>
                <w:rFonts w:ascii="Arial" w:hAnsi="Arial" w:cs="Arial"/>
                <w:bCs/>
                <w:sz w:val="18"/>
                <w:szCs w:val="18"/>
              </w:rPr>
              <w:t>0</w:t>
            </w:r>
            <w:r w:rsidR="00D2720D">
              <w:rPr>
                <w:rFonts w:ascii="Arial" w:hAnsi="Arial" w:cs="Arial"/>
                <w:bCs/>
                <w:sz w:val="18"/>
                <w:szCs w:val="18"/>
              </w:rPr>
              <w:t xml:space="preserve"> </w:t>
            </w:r>
            <w:r w:rsidR="00E5200F">
              <w:rPr>
                <w:rFonts w:ascii="Arial" w:hAnsi="Arial" w:cs="Arial"/>
                <w:bCs/>
                <w:sz w:val="18"/>
                <w:szCs w:val="18"/>
              </w:rPr>
              <w:t xml:space="preserve">– </w:t>
            </w:r>
            <w:r>
              <w:rPr>
                <w:rFonts w:ascii="Arial" w:hAnsi="Arial" w:cs="Arial"/>
                <w:bCs/>
                <w:sz w:val="18"/>
                <w:szCs w:val="18"/>
              </w:rPr>
              <w:t>7</w:t>
            </w:r>
            <w:r w:rsidR="00E5200F">
              <w:rPr>
                <w:rFonts w:ascii="Arial" w:hAnsi="Arial" w:cs="Arial"/>
                <w:bCs/>
                <w:sz w:val="18"/>
                <w:szCs w:val="18"/>
              </w:rPr>
              <w:t>,</w:t>
            </w:r>
            <w:r>
              <w:rPr>
                <w:rFonts w:ascii="Arial" w:hAnsi="Arial" w:cs="Arial"/>
                <w:bCs/>
                <w:sz w:val="18"/>
                <w:szCs w:val="18"/>
              </w:rPr>
              <w:t>0</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75C5DA8" w14:textId="77777777" w:rsidR="00E5200F"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CD03DC">
              <w:rPr>
                <w:rFonts w:ascii="Arial" w:hAnsi="Arial" w:cs="Arial"/>
                <w:bCs/>
                <w:sz w:val="18"/>
                <w:szCs w:val="18"/>
              </w:rPr>
              <w:t xml:space="preserve">Sens. Pele </w:t>
            </w:r>
            <w:r w:rsidR="00CD03DC" w:rsidRPr="00CD03DC">
              <w:rPr>
                <w:rFonts w:ascii="Arial" w:hAnsi="Arial" w:cs="Arial"/>
                <w:bCs/>
                <w:sz w:val="18"/>
                <w:szCs w:val="18"/>
              </w:rPr>
              <w:t>– Cat 1</w:t>
            </w:r>
            <w:r w:rsidR="00ED6869">
              <w:rPr>
                <w:rFonts w:ascii="Arial" w:hAnsi="Arial" w:cs="Arial"/>
                <w:bCs/>
                <w:sz w:val="18"/>
                <w:szCs w:val="18"/>
              </w:rPr>
              <w:t>B</w:t>
            </w:r>
            <w:r w:rsidRPr="00CD03DC">
              <w:rPr>
                <w:rFonts w:ascii="Arial" w:hAnsi="Arial" w:cs="Arial"/>
                <w:bCs/>
                <w:sz w:val="18"/>
                <w:szCs w:val="18"/>
              </w:rPr>
              <w:t>, H317</w:t>
            </w:r>
          </w:p>
          <w:p w14:paraId="68A47390" w14:textId="4E3DF0BD" w:rsidR="00ED6869" w:rsidRDefault="00ED6869" w:rsidP="00350973">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Aquát. Agudo – Cat 3;</w:t>
            </w:r>
            <w:r w:rsidR="00A27465">
              <w:rPr>
                <w:rFonts w:ascii="Arial" w:hAnsi="Arial" w:cs="Arial"/>
                <w:bCs/>
                <w:sz w:val="18"/>
                <w:szCs w:val="18"/>
              </w:rPr>
              <w:t xml:space="preserve"> H402</w:t>
            </w:r>
            <w:r>
              <w:rPr>
                <w:rFonts w:ascii="Arial" w:hAnsi="Arial" w:cs="Arial"/>
                <w:bCs/>
                <w:sz w:val="18"/>
                <w:szCs w:val="18"/>
              </w:rPr>
              <w:t xml:space="preserve"> </w:t>
            </w:r>
          </w:p>
          <w:p w14:paraId="4932796D" w14:textId="53662BFE" w:rsidR="00ED6869" w:rsidRPr="00CD03DC" w:rsidRDefault="00ED6869"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r>
              <w:rPr>
                <w:rFonts w:ascii="Arial" w:hAnsi="Arial" w:cs="Arial"/>
                <w:bCs/>
                <w:sz w:val="18"/>
                <w:szCs w:val="18"/>
              </w:rPr>
              <w:t>Aquát. Crônico – Cat 3;</w:t>
            </w:r>
            <w:r w:rsidR="00A27465">
              <w:rPr>
                <w:rFonts w:ascii="Arial" w:hAnsi="Arial" w:cs="Arial"/>
                <w:bCs/>
                <w:sz w:val="18"/>
                <w:szCs w:val="18"/>
              </w:rPr>
              <w:t xml:space="preserve"> H412</w:t>
            </w:r>
          </w:p>
        </w:tc>
      </w:tr>
      <w:tr w:rsidR="00A83BCD" w:rsidRPr="00673589" w14:paraId="5798258D"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B5DC91" w14:textId="1365C450" w:rsidR="00A83BCD" w:rsidRDefault="00A83BCD" w:rsidP="00A83BCD">
            <w:pPr>
              <w:widowControl w:val="0"/>
              <w:spacing w:after="0" w:line="240" w:lineRule="auto"/>
              <w:ind w:right="128"/>
              <w:jc w:val="center"/>
              <w:rPr>
                <w:rFonts w:ascii="Arial" w:hAnsi="Arial" w:cs="Arial"/>
                <w:b/>
                <w:sz w:val="18"/>
                <w:szCs w:val="18"/>
              </w:rPr>
            </w:pPr>
            <w:r w:rsidRPr="00102339">
              <w:rPr>
                <w:rFonts w:ascii="Arial" w:hAnsi="Arial" w:cs="Arial"/>
                <w:b/>
                <w:sz w:val="18"/>
                <w:szCs w:val="18"/>
              </w:rPr>
              <w:t>Polímero de Hidrocarboneto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FDB9AE3" w14:textId="3821994B" w:rsidR="00A83BCD" w:rsidRDefault="00A83BCD" w:rsidP="00A83BCD">
            <w:pPr>
              <w:widowControl w:val="0"/>
              <w:spacing w:after="0" w:line="240" w:lineRule="auto"/>
              <w:ind w:right="128"/>
              <w:jc w:val="center"/>
              <w:rPr>
                <w:rFonts w:ascii="Arial" w:hAnsi="Arial" w:cs="Arial"/>
                <w:bCs/>
                <w:sz w:val="18"/>
                <w:szCs w:val="18"/>
              </w:rPr>
            </w:pPr>
            <w:r>
              <w:rPr>
                <w:rFonts w:ascii="Arial" w:eastAsia="Roboto" w:hAnsi="Arial" w:cs="Arial"/>
                <w:bCs/>
                <w:color w:val="0B0C0C"/>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6D1EC1B" w14:textId="625EC7A5" w:rsidR="00A83BCD" w:rsidRDefault="00A83BCD" w:rsidP="00A83BCD">
            <w:pPr>
              <w:widowControl w:val="0"/>
              <w:spacing w:after="0" w:line="240" w:lineRule="auto"/>
              <w:ind w:right="128"/>
              <w:jc w:val="center"/>
              <w:rPr>
                <w:rFonts w:ascii="Arial" w:hAnsi="Arial" w:cs="Arial"/>
                <w:bCs/>
                <w:sz w:val="18"/>
                <w:szCs w:val="18"/>
              </w:rPr>
            </w:pPr>
            <w:r>
              <w:rPr>
                <w:rFonts w:ascii="Arial" w:hAnsi="Arial" w:cs="Arial"/>
                <w:bCs/>
                <w:sz w:val="18"/>
                <w:szCs w:val="18"/>
              </w:rPr>
              <w:t>5,00 – 7,00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5B8207" w14:textId="7EBF5473" w:rsidR="00A83BCD" w:rsidRDefault="00A83BCD" w:rsidP="00A83BCD">
            <w:pPr>
              <w:widowControl w:val="0"/>
              <w:pBdr>
                <w:top w:val="nil"/>
                <w:left w:val="nil"/>
                <w:bottom w:val="nil"/>
                <w:right w:val="nil"/>
                <w:between w:val="nil"/>
              </w:pBdr>
              <w:spacing w:after="0" w:line="276" w:lineRule="auto"/>
              <w:ind w:left="708" w:right="128" w:hanging="70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83BCD" w:rsidRPr="00673589" w14:paraId="5240756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AC75C0F" w14:textId="5760C293" w:rsidR="00A83BCD" w:rsidRPr="00102339" w:rsidRDefault="00A83BCD" w:rsidP="00A83BCD">
            <w:pPr>
              <w:widowControl w:val="0"/>
              <w:spacing w:after="0" w:line="240" w:lineRule="auto"/>
              <w:ind w:right="128"/>
              <w:jc w:val="center"/>
              <w:rPr>
                <w:rFonts w:ascii="Arial" w:hAnsi="Arial" w:cs="Arial"/>
                <w:b/>
                <w:sz w:val="18"/>
                <w:szCs w:val="18"/>
              </w:rPr>
            </w:pPr>
            <w:r>
              <w:rPr>
                <w:rFonts w:ascii="Arial" w:hAnsi="Arial" w:cs="Arial"/>
                <w:b/>
                <w:sz w:val="18"/>
                <w:szCs w:val="18"/>
              </w:rPr>
              <w:t>Polialquilmetacrilato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D235BA1" w14:textId="361571DF" w:rsidR="00A83BCD" w:rsidRDefault="00A83BCD" w:rsidP="00A83BCD">
            <w:pPr>
              <w:widowControl w:val="0"/>
              <w:spacing w:after="0" w:line="240" w:lineRule="auto"/>
              <w:ind w:right="128"/>
              <w:jc w:val="center"/>
              <w:rPr>
                <w:rFonts w:ascii="Arial" w:eastAsia="Roboto" w:hAnsi="Arial" w:cs="Arial"/>
                <w:bCs/>
                <w:color w:val="0B0C0C"/>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7F0175" w14:textId="6FBE4423" w:rsidR="00A83BCD" w:rsidRDefault="00A83BCD" w:rsidP="00A83BCD">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367DAC4" w14:textId="7148E188" w:rsidR="00A83BCD" w:rsidRPr="002C432A" w:rsidRDefault="00A83BCD" w:rsidP="00A83BCD">
            <w:pPr>
              <w:widowControl w:val="0"/>
              <w:pBdr>
                <w:top w:val="nil"/>
                <w:left w:val="nil"/>
                <w:bottom w:val="nil"/>
                <w:right w:val="nil"/>
                <w:between w:val="nil"/>
              </w:pBdr>
              <w:spacing w:after="0" w:line="276" w:lineRule="auto"/>
              <w:ind w:left="708" w:right="128" w:hanging="70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25258AA0" w14:textId="77777777" w:rsidR="00F440B9" w:rsidRPr="00F440B9" w:rsidRDefault="00F440B9" w:rsidP="00B06D60">
      <w:pPr>
        <w:spacing w:line="360" w:lineRule="auto"/>
        <w:ind w:right="128"/>
        <w:jc w:val="both"/>
        <w:rPr>
          <w:rFonts w:ascii="Arial" w:hAnsi="Arial" w:cs="Arial"/>
          <w:b/>
          <w:sz w:val="6"/>
          <w:szCs w:val="6"/>
        </w:rPr>
      </w:pPr>
    </w:p>
    <w:p w14:paraId="01D0ADF8" w14:textId="77FC4D11"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C9218A">
        <w:tc>
          <w:tcPr>
            <w:tcW w:w="10773" w:type="dxa"/>
            <w:shd w:val="clear" w:color="auto" w:fill="FF9900"/>
          </w:tcPr>
          <w:p w14:paraId="116F88E0" w14:textId="77777777" w:rsidR="000A7913" w:rsidRPr="00C9218A" w:rsidRDefault="00201C42"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C9218A">
        <w:tc>
          <w:tcPr>
            <w:tcW w:w="10773" w:type="dxa"/>
            <w:shd w:val="clear" w:color="auto" w:fill="FF9900"/>
          </w:tcPr>
          <w:p w14:paraId="634CD675" w14:textId="77777777" w:rsidR="000A7913" w:rsidRPr="00C9218A"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50ACC1E7" w14:textId="2862B712" w:rsidR="00E82029"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6E15FFE2" w14:textId="5D0672D7" w:rsidR="005821B5" w:rsidRDefault="005821B5" w:rsidP="00B06D60">
      <w:pPr>
        <w:spacing w:line="360" w:lineRule="auto"/>
        <w:ind w:right="128"/>
        <w:jc w:val="both"/>
        <w:rPr>
          <w:rFonts w:ascii="Arial" w:hAnsi="Arial" w:cs="Arial"/>
        </w:rPr>
      </w:pPr>
    </w:p>
    <w:p w14:paraId="5B70981E" w14:textId="77777777" w:rsidR="005821B5" w:rsidRPr="00F440B9" w:rsidRDefault="005821B5"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C9218A">
        <w:tc>
          <w:tcPr>
            <w:tcW w:w="10773" w:type="dxa"/>
            <w:shd w:val="clear" w:color="auto" w:fill="FF9900"/>
          </w:tcPr>
          <w:p w14:paraId="3E12BEA3" w14:textId="77777777" w:rsidR="000A7913" w:rsidRPr="00C9218A"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033F695" w14:textId="130844F0" w:rsidR="00F440B9"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C9218A">
        <w:tc>
          <w:tcPr>
            <w:tcW w:w="10773" w:type="dxa"/>
            <w:tcBorders>
              <w:top w:val="nil"/>
              <w:left w:val="nil"/>
              <w:bottom w:val="nil"/>
              <w:right w:val="nil"/>
            </w:tcBorders>
            <w:shd w:val="clear" w:color="auto" w:fill="FF9900"/>
          </w:tcPr>
          <w:p w14:paraId="5BE987DF"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F1D530F" w:rsidR="00E82029"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lastRenderedPageBreak/>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7D094E31" w14:textId="098893F7" w:rsidR="00F440B9" w:rsidRPr="005821B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C9218A">
        <w:tc>
          <w:tcPr>
            <w:tcW w:w="10773" w:type="dxa"/>
            <w:tcBorders>
              <w:top w:val="nil"/>
              <w:left w:val="nil"/>
              <w:bottom w:val="nil"/>
              <w:right w:val="nil"/>
            </w:tcBorders>
            <w:shd w:val="clear" w:color="auto" w:fill="FF9900"/>
          </w:tcPr>
          <w:p w14:paraId="307B99F9"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754B46" w:rsidRDefault="00E82029"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C921335" w14:textId="6909B99D" w:rsidR="0091316B"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lastRenderedPageBreak/>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C9218A">
        <w:tc>
          <w:tcPr>
            <w:tcW w:w="10773" w:type="dxa"/>
            <w:tcBorders>
              <w:top w:val="nil"/>
              <w:left w:val="nil"/>
              <w:bottom w:val="nil"/>
              <w:right w:val="nil"/>
            </w:tcBorders>
            <w:shd w:val="clear" w:color="auto" w:fill="FF9900"/>
          </w:tcPr>
          <w:p w14:paraId="6B2E7B77" w14:textId="77777777" w:rsidR="003F0640" w:rsidRPr="00C9218A"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79F593FD"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5821B5">
        <w:rPr>
          <w:rFonts w:ascii="Arial" w:hAnsi="Arial" w:cs="Arial"/>
          <w:bCs/>
        </w:rPr>
        <w:t>Amarelo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05F2D0C2"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5821B5">
        <w:rPr>
          <w:rFonts w:ascii="Arial" w:hAnsi="Arial" w:cs="Arial"/>
          <w:bCs/>
        </w:rPr>
        <w:t>50</w:t>
      </w:r>
      <w:r w:rsidR="00153781" w:rsidRPr="00DC5BB8">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30A144C8" w:rsidR="004D1CE4" w:rsidRPr="00153781" w:rsidRDefault="004D1CE4" w:rsidP="0017431D">
      <w:pPr>
        <w:pStyle w:val="PargrafodaLista"/>
        <w:spacing w:line="360" w:lineRule="auto"/>
        <w:ind w:left="360" w:right="128"/>
        <w:jc w:val="both"/>
        <w:rPr>
          <w:rFonts w:ascii="Arial" w:hAnsi="Arial" w:cs="Arial"/>
          <w:b/>
        </w:rPr>
      </w:pPr>
      <w:r w:rsidRPr="00147170">
        <w:rPr>
          <w:rFonts w:ascii="Arial" w:hAnsi="Arial" w:cs="Arial"/>
          <w:b/>
        </w:rPr>
        <w:t>Ponto de fulgor:</w:t>
      </w:r>
      <w:r w:rsidR="005B198F" w:rsidRPr="00147170">
        <w:rPr>
          <w:rFonts w:ascii="Arial" w:hAnsi="Arial" w:cs="Arial"/>
          <w:b/>
        </w:rPr>
        <w:t xml:space="preserve"> </w:t>
      </w:r>
      <w:r w:rsidR="005B198F" w:rsidRPr="00147170">
        <w:rPr>
          <w:rFonts w:ascii="Arial" w:hAnsi="Arial" w:cs="Arial"/>
          <w:bCs/>
        </w:rPr>
        <w:t>Típico</w:t>
      </w:r>
      <w:r w:rsidR="00153781" w:rsidRPr="00147170">
        <w:rPr>
          <w:rFonts w:ascii="Arial" w:hAnsi="Arial" w:cs="Arial"/>
          <w:bCs/>
        </w:rPr>
        <w:t xml:space="preserve"> </w:t>
      </w:r>
      <w:r w:rsidR="005821B5">
        <w:rPr>
          <w:rFonts w:ascii="Arial" w:hAnsi="Arial" w:cs="Arial"/>
          <w:bCs/>
        </w:rPr>
        <w:t>236</w:t>
      </w:r>
      <w:r w:rsidR="005B198F" w:rsidRPr="00147170">
        <w:rPr>
          <w:rFonts w:ascii="Arial" w:hAnsi="Arial" w:cs="Arial"/>
          <w:bCs/>
        </w:rPr>
        <w:t xml:space="preserve"> °C</w:t>
      </w:r>
      <w:r w:rsidR="008E0044" w:rsidRPr="00147170">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6B1C6C34"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120E68" w:rsidRPr="0085605B">
        <w:rPr>
          <w:rFonts w:ascii="Arial" w:hAnsi="Arial" w:cs="Arial"/>
          <w:bCs/>
        </w:rPr>
        <w:t xml:space="preserve"> </w:t>
      </w:r>
      <w:r w:rsidR="005821B5">
        <w:rPr>
          <w:rFonts w:ascii="Arial" w:hAnsi="Arial" w:cs="Arial"/>
          <w:bCs/>
        </w:rPr>
        <w:t>72,36</w:t>
      </w:r>
      <w:r w:rsidR="00120E68" w:rsidRPr="0085605B">
        <w:rPr>
          <w:rFonts w:ascii="Arial" w:hAnsi="Arial" w:cs="Arial"/>
          <w:bCs/>
        </w:rPr>
        <w:t>cSt</w:t>
      </w:r>
    </w:p>
    <w:p w14:paraId="0D8A1051" w14:textId="0FE79FC9"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5821B5">
        <w:rPr>
          <w:rFonts w:ascii="Arial" w:hAnsi="Arial" w:cs="Arial"/>
          <w:bCs/>
        </w:rPr>
        <w:t>11,01</w:t>
      </w:r>
      <w:r w:rsidR="0000798D" w:rsidRPr="0085605B">
        <w:rPr>
          <w:rFonts w:ascii="Arial" w:hAnsi="Arial" w:cs="Arial"/>
          <w:bCs/>
        </w:rPr>
        <w:t xml:space="preserve"> </w:t>
      </w:r>
      <w:r w:rsidR="00120E68" w:rsidRPr="0085605B">
        <w:rPr>
          <w:rFonts w:ascii="Arial" w:hAnsi="Arial" w:cs="Arial"/>
          <w:bCs/>
        </w:rPr>
        <w:t>cSt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Coeficiente de partição - n-octanol/água (valor do log de Kow):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&lt;0,1 hPa a 20°C.</w:t>
      </w:r>
    </w:p>
    <w:p w14:paraId="439C6519" w14:textId="5D422047"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5821B5">
        <w:rPr>
          <w:rFonts w:ascii="Arial" w:hAnsi="Arial" w:cs="Arial"/>
          <w:bCs/>
        </w:rPr>
        <w:t>62</w:t>
      </w:r>
      <w:r w:rsidR="005B198F"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C9218A">
        <w:tc>
          <w:tcPr>
            <w:tcW w:w="10773" w:type="dxa"/>
            <w:tcBorders>
              <w:top w:val="nil"/>
              <w:left w:val="nil"/>
              <w:bottom w:val="nil"/>
              <w:right w:val="nil"/>
            </w:tcBorders>
            <w:shd w:val="clear" w:color="auto" w:fill="FF9900"/>
          </w:tcPr>
          <w:p w14:paraId="1BC3A2C4" w14:textId="2A6C17EE" w:rsidR="003F0640" w:rsidRPr="00C9218A" w:rsidRDefault="004D1CE4" w:rsidP="00B06D60">
            <w:pPr>
              <w:pStyle w:val="PargrafodaLista"/>
              <w:numPr>
                <w:ilvl w:val="0"/>
                <w:numId w:val="9"/>
              </w:numPr>
              <w:tabs>
                <w:tab w:val="left" w:pos="5025"/>
              </w:tabs>
              <w:ind w:left="318"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 </w:t>
            </w:r>
            <w:r w:rsidR="00062A55" w:rsidRPr="00C9218A">
              <w:rPr>
                <w:rFonts w:ascii="Arial" w:hAnsi="Arial" w:cs="Arial"/>
                <w:b/>
                <w:color w:val="000000" w:themeColor="text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362AAAAF" w14:textId="18B75D2C" w:rsidR="00F440B9" w:rsidRPr="00C41348"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C9218A">
        <w:tc>
          <w:tcPr>
            <w:tcW w:w="10773" w:type="dxa"/>
            <w:tcBorders>
              <w:top w:val="nil"/>
              <w:left w:val="nil"/>
              <w:bottom w:val="nil"/>
              <w:right w:val="nil"/>
            </w:tcBorders>
            <w:shd w:val="clear" w:color="auto" w:fill="FF9900"/>
          </w:tcPr>
          <w:p w14:paraId="264C0411" w14:textId="40A7B858" w:rsidR="003F0640" w:rsidRPr="00C9218A" w:rsidRDefault="004D1CE4" w:rsidP="00B06D60">
            <w:p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11. </w:t>
            </w:r>
            <w:r w:rsidR="00062A55" w:rsidRPr="00C9218A">
              <w:rPr>
                <w:rFonts w:ascii="Arial" w:hAnsi="Arial" w:cs="Arial"/>
                <w:b/>
                <w:color w:val="000000" w:themeColor="text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3F1061">
      <w:pPr>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r w:rsidR="006F2DEC" w:rsidRPr="006F2DEC">
        <w:rPr>
          <w:rFonts w:ascii="Arial" w:hAnsi="Arial" w:cs="Arial"/>
        </w:rPr>
        <w:t>desengorduramento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Em um estudo primário de irritação ocular, 6 coelhos brancos da Nova Zelândia (3 machos, 3 fêmeas) tiveram 0,1 mL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B7A6F1C" w14:textId="1DE2DA49" w:rsidR="005B784C" w:rsidRDefault="005B784C" w:rsidP="00F440B9">
      <w:pPr>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Lesões oculares foram observadas 24, 48 e 72 horas após a exposição e avaliações com corante de fluoresceína empregadas para cada leitura. A classificação e pontuação da irritação ocular foram realizadas de acordo com o método de Draize.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22DCECC7" w14:textId="77777777" w:rsidR="00F440B9" w:rsidRPr="005B784C" w:rsidRDefault="00F440B9" w:rsidP="00F440B9">
      <w:pPr>
        <w:spacing w:after="140" w:line="360" w:lineRule="auto"/>
        <w:ind w:right="128"/>
        <w:jc w:val="both"/>
        <w:rPr>
          <w:rFonts w:ascii="Arial" w:eastAsia="Arial" w:hAnsi="Arial" w:cs="Arial"/>
          <w:sz w:val="18"/>
          <w:szCs w:val="18"/>
          <w:lang w:eastAsia="pt-BR"/>
        </w:rPr>
      </w:pPr>
    </w:p>
    <w:p w14:paraId="46D4AE9D" w14:textId="40655DB5" w:rsidR="003F1061" w:rsidRPr="003F1061" w:rsidRDefault="00BE60D1" w:rsidP="007117FD">
      <w:pPr>
        <w:spacing w:after="140" w:line="360" w:lineRule="auto"/>
        <w:ind w:right="128"/>
        <w:jc w:val="both"/>
        <w:rPr>
          <w:rFonts w:ascii="Arial" w:hAnsi="Arial" w:cs="Arial"/>
        </w:rPr>
      </w:pPr>
      <w:r>
        <w:rPr>
          <w:rFonts w:ascii="Arial" w:hAnsi="Arial" w:cs="Arial"/>
          <w:b/>
          <w:bCs/>
        </w:rPr>
        <w:lastRenderedPageBreak/>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7117FD" w:rsidRPr="007117FD">
        <w:rPr>
          <w:rFonts w:ascii="Arial" w:hAnsi="Arial" w:cs="Arial"/>
        </w:rPr>
        <w:t>Pode provocar reações alérgicas na pele com prurido e dermatite.</w:t>
      </w:r>
      <w:r w:rsidR="007117FD">
        <w:rPr>
          <w:rFonts w:ascii="Arial" w:hAnsi="Arial" w:cs="Arial"/>
        </w:rPr>
        <w:t xml:space="preserve"> </w:t>
      </w:r>
      <w:r w:rsidR="007117FD" w:rsidRPr="007117FD">
        <w:rPr>
          <w:rFonts w:ascii="Arial" w:hAnsi="Arial" w:cs="Arial"/>
        </w:rPr>
        <w:t>Não é esperado que provoque sensibilização respiratória</w:t>
      </w:r>
    </w:p>
    <w:p w14:paraId="39BBAA17" w14:textId="0EE3AB37" w:rsidR="007117FD" w:rsidRDefault="007117FD" w:rsidP="007117FD">
      <w:pPr>
        <w:shd w:val="clear" w:color="auto" w:fill="FFFFFF"/>
        <w:spacing w:after="140" w:line="360" w:lineRule="auto"/>
        <w:ind w:right="128"/>
        <w:jc w:val="both"/>
        <w:rPr>
          <w:rFonts w:ascii="Arial" w:hAnsi="Arial" w:cs="Arial"/>
        </w:rPr>
      </w:pPr>
      <w:r w:rsidRPr="007117FD">
        <w:rPr>
          <w:rFonts w:ascii="Arial" w:hAnsi="Arial" w:cs="Arial"/>
        </w:rPr>
        <w:t>O ingrediente Sulfonato de alcaril, sais metálicos é classificado como sensibilizante da pele e</w:t>
      </w:r>
      <w:r>
        <w:rPr>
          <w:rFonts w:ascii="Arial" w:hAnsi="Arial" w:cs="Arial"/>
        </w:rPr>
        <w:t xml:space="preserve"> </w:t>
      </w:r>
      <w:r w:rsidRPr="007117FD">
        <w:rPr>
          <w:rFonts w:ascii="Arial" w:hAnsi="Arial" w:cs="Arial"/>
        </w:rPr>
        <w:t>contribui para esta classificação do produto.</w:t>
      </w:r>
    </w:p>
    <w:p w14:paraId="28A80CB7" w14:textId="55D72538" w:rsidR="00BE60D1" w:rsidRPr="003F1061" w:rsidRDefault="00BE60D1" w:rsidP="007117FD">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57B3D374" w14:textId="6D54E346"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655DC0">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0359DB" w14:textId="0B624D42" w:rsidR="00754B46" w:rsidRPr="00F440B9" w:rsidRDefault="00D37984" w:rsidP="00F440B9">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C9218A">
        <w:tc>
          <w:tcPr>
            <w:tcW w:w="10773" w:type="dxa"/>
            <w:tcBorders>
              <w:top w:val="nil"/>
              <w:left w:val="nil"/>
              <w:bottom w:val="nil"/>
              <w:right w:val="nil"/>
            </w:tcBorders>
            <w:shd w:val="clear" w:color="auto" w:fill="FF9900"/>
          </w:tcPr>
          <w:p w14:paraId="6179F9F3"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w:t>
      </w:r>
      <w:r w:rsidRPr="00E6251A">
        <w:rPr>
          <w:rFonts w:ascii="Arial" w:hAnsi="Arial" w:cs="Arial"/>
        </w:rPr>
        <w:lastRenderedPageBreak/>
        <w:t>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19FAFFC6" w14:textId="553A84C3" w:rsidR="00754B46" w:rsidRPr="00F440B9" w:rsidRDefault="006E1BE1" w:rsidP="00F440B9">
      <w:pPr>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10417F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55191502" w14:textId="77777777" w:rsidR="00F440B9" w:rsidRPr="00D879BE" w:rsidRDefault="00F440B9" w:rsidP="00B06D60">
      <w:pPr>
        <w:shd w:val="clear" w:color="auto" w:fill="FFFFFF"/>
        <w:spacing w:after="140" w:line="360" w:lineRule="auto"/>
        <w:ind w:right="128" w:firstLine="70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24B17F45" w14:textId="77777777" w:rsidTr="00C9218A">
        <w:tc>
          <w:tcPr>
            <w:tcW w:w="10773" w:type="dxa"/>
            <w:tcBorders>
              <w:top w:val="nil"/>
              <w:left w:val="nil"/>
              <w:bottom w:val="nil"/>
              <w:right w:val="nil"/>
            </w:tcBorders>
            <w:shd w:val="clear" w:color="auto" w:fill="FF9900"/>
          </w:tcPr>
          <w:p w14:paraId="119538D2" w14:textId="00B2BC4E"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lastRenderedPageBreak/>
              <w:t>CONSIDERA</w:t>
            </w:r>
            <w:r w:rsidR="00301FAA" w:rsidRPr="00C9218A">
              <w:rPr>
                <w:rFonts w:ascii="Arial" w:hAnsi="Arial" w:cs="Arial"/>
                <w:b/>
                <w:color w:val="000000" w:themeColor="text1"/>
                <w:sz w:val="24"/>
                <w:szCs w:val="24"/>
              </w:rPr>
              <w:t>ÇÕES</w:t>
            </w:r>
            <w:r w:rsidRPr="00C9218A">
              <w:rPr>
                <w:rFonts w:ascii="Arial" w:hAnsi="Arial" w:cs="Arial"/>
                <w:b/>
                <w:color w:val="000000" w:themeColor="text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C9218A">
        <w:tc>
          <w:tcPr>
            <w:tcW w:w="10773" w:type="dxa"/>
            <w:tcBorders>
              <w:top w:val="nil"/>
              <w:left w:val="nil"/>
              <w:bottom w:val="nil"/>
              <w:right w:val="nil"/>
            </w:tcBorders>
            <w:shd w:val="clear" w:color="auto" w:fill="FF9900"/>
          </w:tcPr>
          <w:p w14:paraId="482F1D1E"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5AE7AEA7" w14:textId="3E47CE3C"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63BFABD6" w14:textId="77777777" w:rsidR="00F440B9" w:rsidRPr="00666C6D" w:rsidRDefault="00F440B9"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C9218A">
        <w:tc>
          <w:tcPr>
            <w:tcW w:w="10773" w:type="dxa"/>
            <w:tcBorders>
              <w:top w:val="nil"/>
              <w:left w:val="nil"/>
              <w:bottom w:val="nil"/>
              <w:right w:val="nil"/>
            </w:tcBorders>
            <w:shd w:val="clear" w:color="auto" w:fill="FF9900"/>
          </w:tcPr>
          <w:p w14:paraId="43788E9D"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lastRenderedPageBreak/>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7166B46" w:rsidR="005B5C4F" w:rsidRPr="001C3797"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C9218A">
        <w:tc>
          <w:tcPr>
            <w:tcW w:w="10773" w:type="dxa"/>
            <w:tcBorders>
              <w:top w:val="nil"/>
              <w:left w:val="nil"/>
              <w:bottom w:val="nil"/>
              <w:right w:val="nil"/>
            </w:tcBorders>
            <w:shd w:val="clear" w:color="auto" w:fill="FF9900"/>
          </w:tcPr>
          <w:p w14:paraId="5DE797C2" w14:textId="77777777" w:rsidR="00062A55" w:rsidRPr="00C9218A"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C9218A">
              <w:rPr>
                <w:rFonts w:ascii="Arial" w:hAnsi="Arial" w:cs="Arial"/>
                <w:b/>
                <w:color w:val="000000" w:themeColor="text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5B4FF41" w14:textId="3F0502FD" w:rsidR="00004AF8"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r w:rsidRPr="00B42B2B">
        <w:rPr>
          <w:rFonts w:ascii="Arial" w:hAnsi="Arial" w:cs="Arial"/>
        </w:rPr>
        <w:t>Threshold Limit Value</w:t>
      </w:r>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Time-Weighted Average</w:t>
      </w:r>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r w:rsidRPr="00B42B2B">
        <w:rPr>
          <w:rFonts w:ascii="Arial" w:hAnsi="Arial" w:cs="Arial"/>
        </w:rPr>
        <w:t>Permissible Exposure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R</w:t>
      </w:r>
      <w:r w:rsidRPr="00C0684D">
        <w:rPr>
          <w:rFonts w:ascii="Arial" w:hAnsi="Arial" w:cs="Arial"/>
        </w:rPr>
        <w:t xml:space="preserve">ecommended </w:t>
      </w:r>
      <w:r>
        <w:rPr>
          <w:rFonts w:ascii="Arial" w:hAnsi="Arial" w:cs="Arial"/>
        </w:rPr>
        <w:t>E</w:t>
      </w:r>
      <w:r w:rsidRPr="00C0684D">
        <w:rPr>
          <w:rFonts w:ascii="Arial" w:hAnsi="Arial" w:cs="Arial"/>
        </w:rPr>
        <w:t xml:space="preserve">xposure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lastRenderedPageBreak/>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r w:rsidRPr="006406C8">
        <w:rPr>
          <w:rFonts w:ascii="Arial" w:hAnsi="Arial" w:cs="Arial"/>
        </w:rPr>
        <w:t>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r w:rsidRPr="008E0044">
        <w:rPr>
          <w:rFonts w:ascii="Arial" w:hAnsi="Arial" w:cs="Arial"/>
        </w:rPr>
        <w:t>National Institute for Occupational Safety and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64490">
        <w:rPr>
          <w:rFonts w:ascii="Arial" w:hAnsi="Arial" w:cs="Arial"/>
        </w:rPr>
        <w:t>Globally Harmonized System of Classification and Labelling of Chemicals (GHS Rev. 10, 2023). United Nations,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UN Model Regulations Rev. 23 (2023)</w:t>
      </w:r>
      <w:r>
        <w:rPr>
          <w:rFonts w:ascii="Arial" w:hAnsi="Arial" w:cs="Arial"/>
        </w:rPr>
        <w:t xml:space="preserve">. </w:t>
      </w:r>
      <w:r w:rsidRPr="00110133">
        <w:rPr>
          <w:rFonts w:ascii="Arial" w:hAnsi="Arial" w:cs="Arial"/>
        </w:rPr>
        <w:t>United Nations,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4749" w14:textId="77777777" w:rsidR="00C9218A" w:rsidRDefault="00C9218A" w:rsidP="00C9218A">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3F35ED94" wp14:editId="12E80B2E">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E7847CD" w14:textId="141E1DEA" w:rsidR="00C9218A" w:rsidRPr="009A1389" w:rsidRDefault="00C9218A" w:rsidP="00C9218A">
                          <w:pPr>
                            <w:rPr>
                              <w:sz w:val="18"/>
                              <w:szCs w:val="18"/>
                            </w:rPr>
                          </w:pPr>
                          <w:r w:rsidRPr="009A1389">
                            <w:rPr>
                              <w:sz w:val="18"/>
                              <w:szCs w:val="18"/>
                            </w:rPr>
                            <w:t>Data da revisão:</w:t>
                          </w:r>
                          <w:r>
                            <w:rPr>
                              <w:sz w:val="18"/>
                              <w:szCs w:val="18"/>
                            </w:rPr>
                            <w:t xml:space="preserve"> </w:t>
                          </w:r>
                          <w:r w:rsidR="00F55C3E">
                            <w:rPr>
                              <w:sz w:val="18"/>
                              <w:szCs w:val="18"/>
                            </w:rPr>
                            <w:t>1</w:t>
                          </w:r>
                          <w:r w:rsidR="00E80F21">
                            <w:rPr>
                              <w:sz w:val="18"/>
                              <w:szCs w:val="18"/>
                            </w:rPr>
                            <w:t>6</w:t>
                          </w:r>
                          <w:r w:rsidR="00F55C3E">
                            <w:rPr>
                              <w:sz w:val="18"/>
                              <w:szCs w:val="18"/>
                            </w:rPr>
                            <w:t>/0</w:t>
                          </w:r>
                          <w:r w:rsidR="00E80F21">
                            <w:rPr>
                              <w:sz w:val="18"/>
                              <w:szCs w:val="18"/>
                            </w:rPr>
                            <w:t>9</w:t>
                          </w:r>
                          <w:r w:rsidR="00F55C3E">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5ED94"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3E7847CD" w14:textId="141E1DEA" w:rsidR="00C9218A" w:rsidRPr="009A1389" w:rsidRDefault="00C9218A" w:rsidP="00C9218A">
                    <w:pPr>
                      <w:rPr>
                        <w:sz w:val="18"/>
                        <w:szCs w:val="18"/>
                      </w:rPr>
                    </w:pPr>
                    <w:r w:rsidRPr="009A1389">
                      <w:rPr>
                        <w:sz w:val="18"/>
                        <w:szCs w:val="18"/>
                      </w:rPr>
                      <w:t>Data da revisão:</w:t>
                    </w:r>
                    <w:r>
                      <w:rPr>
                        <w:sz w:val="18"/>
                        <w:szCs w:val="18"/>
                      </w:rPr>
                      <w:t xml:space="preserve"> </w:t>
                    </w:r>
                    <w:r w:rsidR="00F55C3E">
                      <w:rPr>
                        <w:sz w:val="18"/>
                        <w:szCs w:val="18"/>
                      </w:rPr>
                      <w:t>1</w:t>
                    </w:r>
                    <w:r w:rsidR="00E80F21">
                      <w:rPr>
                        <w:sz w:val="18"/>
                        <w:szCs w:val="18"/>
                      </w:rPr>
                      <w:t>6</w:t>
                    </w:r>
                    <w:r w:rsidR="00F55C3E">
                      <w:rPr>
                        <w:sz w:val="18"/>
                        <w:szCs w:val="18"/>
                      </w:rPr>
                      <w:t>/0</w:t>
                    </w:r>
                    <w:r w:rsidR="00E80F21">
                      <w:rPr>
                        <w:sz w:val="18"/>
                        <w:szCs w:val="18"/>
                      </w:rPr>
                      <w:t>9</w:t>
                    </w:r>
                    <w:r w:rsidR="00F55C3E">
                      <w:rPr>
                        <w:sz w:val="18"/>
                        <w:szCs w:val="18"/>
                      </w:rPr>
                      <w:t>/2025</w:t>
                    </w:r>
                  </w:p>
                </w:txbxContent>
              </v:textbox>
              <w10:wrap anchorx="margin"/>
            </v:shape>
          </w:pict>
        </mc:Fallback>
      </mc:AlternateContent>
    </w:r>
  </w:p>
  <w:p w14:paraId="40267DC2" w14:textId="77777777" w:rsidR="00C9218A" w:rsidRPr="009A1389" w:rsidRDefault="00C9218A" w:rsidP="00C9218A">
    <w:pPr>
      <w:pStyle w:val="Cabealho"/>
      <w:spacing w:line="276" w:lineRule="auto"/>
      <w:ind w:left="850" w:right="-449" w:hanging="1134"/>
      <w:jc w:val="both"/>
      <w:rPr>
        <w:b/>
        <w:sz w:val="14"/>
        <w:szCs w:val="18"/>
      </w:rPr>
    </w:pPr>
  </w:p>
  <w:p w14:paraId="1FB344D5" w14:textId="77777777" w:rsidR="00C9218A" w:rsidRPr="005661E9" w:rsidRDefault="00C9218A" w:rsidP="00C9218A">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6B0190F7" wp14:editId="362348D8">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510743907" name="Imagem 15107439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3B64728D" w14:textId="77777777" w:rsidR="00C9218A" w:rsidRDefault="00C9218A" w:rsidP="00C9218A">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78B5687" w14:textId="77777777" w:rsidR="00C9218A" w:rsidRPr="009A1389" w:rsidRDefault="00C9218A" w:rsidP="00C9218A">
    <w:pPr>
      <w:pStyle w:val="Cabealho"/>
      <w:tabs>
        <w:tab w:val="clear" w:pos="4252"/>
        <w:tab w:val="center" w:pos="3686"/>
      </w:tabs>
      <w:ind w:right="1546"/>
      <w:jc w:val="center"/>
      <w:rPr>
        <w:rFonts w:ascii="Myanmar Text" w:hAnsi="Myanmar Text" w:cs="Myanmar Text"/>
        <w:bCs/>
        <w:sz w:val="10"/>
        <w:szCs w:val="14"/>
      </w:rPr>
    </w:pPr>
  </w:p>
  <w:p w14:paraId="57834193" w14:textId="1922A761" w:rsidR="00C9218A" w:rsidRPr="009A1389" w:rsidRDefault="00F55C3E" w:rsidP="00C9218A">
    <w:pPr>
      <w:pStyle w:val="Cabealho"/>
      <w:tabs>
        <w:tab w:val="clear" w:pos="4252"/>
        <w:tab w:val="center" w:pos="3686"/>
      </w:tabs>
      <w:ind w:left="850" w:right="1546" w:hanging="1134"/>
      <w:jc w:val="center"/>
      <w:rPr>
        <w:rFonts w:ascii="Myanmar Text" w:hAnsi="Myanmar Text" w:cs="Myanmar Text"/>
        <w:bCs/>
        <w:sz w:val="28"/>
        <w:szCs w:val="36"/>
      </w:rPr>
    </w:pPr>
    <w:r w:rsidRPr="00F55C3E">
      <w:rPr>
        <w:rFonts w:ascii="Myanmar Text" w:hAnsi="Myanmar Text" w:cs="Myanmar Text"/>
        <w:bCs/>
        <w:sz w:val="28"/>
        <w:szCs w:val="36"/>
      </w:rPr>
      <w:t>EXTRON TRACTOR FLUID SAE 10W30</w:t>
    </w:r>
  </w:p>
  <w:p w14:paraId="77039B7E" w14:textId="1013BF5F" w:rsidR="0001058F" w:rsidRPr="00B333D3" w:rsidRDefault="00C9218A" w:rsidP="00B333D3">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02AE5CB7" wp14:editId="76278E93">
          <wp:extent cx="5304692" cy="238120"/>
          <wp:effectExtent l="0" t="0" r="0" b="0"/>
          <wp:docPr id="551280063" name="Imagem 55128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D23E0B94"/>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FCA0168E"/>
    <w:lvl w:ilvl="0">
      <w:start w:val="12"/>
      <w:numFmt w:val="decimal"/>
      <w:lvlText w:val="%1."/>
      <w:lvlJc w:val="left"/>
      <w:pPr>
        <w:ind w:left="408" w:hanging="408"/>
      </w:pPr>
      <w:rPr>
        <w:rFonts w:hint="default"/>
        <w:b/>
        <w:bCs/>
        <w:color w:val="000000" w:themeColor="text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763E9906"/>
    <w:lvl w:ilvl="0" w:tplc="1F1257FC">
      <w:start w:val="10"/>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04AF8"/>
    <w:rsid w:val="0000798D"/>
    <w:rsid w:val="0001058F"/>
    <w:rsid w:val="0001356E"/>
    <w:rsid w:val="00017FF5"/>
    <w:rsid w:val="000434D2"/>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132D4"/>
    <w:rsid w:val="00120E68"/>
    <w:rsid w:val="00130720"/>
    <w:rsid w:val="00147170"/>
    <w:rsid w:val="00153781"/>
    <w:rsid w:val="0015711C"/>
    <w:rsid w:val="00161039"/>
    <w:rsid w:val="00165C0E"/>
    <w:rsid w:val="00166393"/>
    <w:rsid w:val="0017431D"/>
    <w:rsid w:val="001745F1"/>
    <w:rsid w:val="00183A17"/>
    <w:rsid w:val="00192886"/>
    <w:rsid w:val="001A0A8A"/>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B5EB4"/>
    <w:rsid w:val="002C432A"/>
    <w:rsid w:val="002C5891"/>
    <w:rsid w:val="002C634A"/>
    <w:rsid w:val="002F462E"/>
    <w:rsid w:val="00301FAA"/>
    <w:rsid w:val="00303319"/>
    <w:rsid w:val="00310476"/>
    <w:rsid w:val="0031750D"/>
    <w:rsid w:val="00325259"/>
    <w:rsid w:val="0033164F"/>
    <w:rsid w:val="0034322C"/>
    <w:rsid w:val="003445BB"/>
    <w:rsid w:val="00350973"/>
    <w:rsid w:val="00352B56"/>
    <w:rsid w:val="00356E01"/>
    <w:rsid w:val="003632F0"/>
    <w:rsid w:val="00376D1A"/>
    <w:rsid w:val="0039769C"/>
    <w:rsid w:val="003B204D"/>
    <w:rsid w:val="003E58E6"/>
    <w:rsid w:val="003F0640"/>
    <w:rsid w:val="003F1061"/>
    <w:rsid w:val="004058C7"/>
    <w:rsid w:val="00405943"/>
    <w:rsid w:val="004077AC"/>
    <w:rsid w:val="004079D4"/>
    <w:rsid w:val="00410EB3"/>
    <w:rsid w:val="0043387F"/>
    <w:rsid w:val="00444605"/>
    <w:rsid w:val="00472C8E"/>
    <w:rsid w:val="00494907"/>
    <w:rsid w:val="0049720F"/>
    <w:rsid w:val="004A54DA"/>
    <w:rsid w:val="004C00A9"/>
    <w:rsid w:val="004D1CE4"/>
    <w:rsid w:val="004E29CC"/>
    <w:rsid w:val="00502E5F"/>
    <w:rsid w:val="00505577"/>
    <w:rsid w:val="0051444C"/>
    <w:rsid w:val="005251DB"/>
    <w:rsid w:val="00525F85"/>
    <w:rsid w:val="00533080"/>
    <w:rsid w:val="005523C3"/>
    <w:rsid w:val="005661E9"/>
    <w:rsid w:val="005725A6"/>
    <w:rsid w:val="00576DDD"/>
    <w:rsid w:val="005821B5"/>
    <w:rsid w:val="00583DAC"/>
    <w:rsid w:val="00584180"/>
    <w:rsid w:val="0059224D"/>
    <w:rsid w:val="0059247B"/>
    <w:rsid w:val="005A56A1"/>
    <w:rsid w:val="005B198F"/>
    <w:rsid w:val="005B5C4F"/>
    <w:rsid w:val="005B784C"/>
    <w:rsid w:val="005B7DEB"/>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55DC0"/>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17FD"/>
    <w:rsid w:val="00717876"/>
    <w:rsid w:val="00733A6B"/>
    <w:rsid w:val="007433F3"/>
    <w:rsid w:val="007502AB"/>
    <w:rsid w:val="00750AB4"/>
    <w:rsid w:val="00754B46"/>
    <w:rsid w:val="0076361B"/>
    <w:rsid w:val="00766ECC"/>
    <w:rsid w:val="00774EDC"/>
    <w:rsid w:val="00775675"/>
    <w:rsid w:val="00790DFE"/>
    <w:rsid w:val="007959F0"/>
    <w:rsid w:val="007A38A5"/>
    <w:rsid w:val="007C70E5"/>
    <w:rsid w:val="007E1133"/>
    <w:rsid w:val="007F2612"/>
    <w:rsid w:val="00800FE7"/>
    <w:rsid w:val="00802FEF"/>
    <w:rsid w:val="008077BC"/>
    <w:rsid w:val="008115F4"/>
    <w:rsid w:val="008141A4"/>
    <w:rsid w:val="00816CEC"/>
    <w:rsid w:val="0082429A"/>
    <w:rsid w:val="008431FD"/>
    <w:rsid w:val="00844918"/>
    <w:rsid w:val="0084565A"/>
    <w:rsid w:val="0085605B"/>
    <w:rsid w:val="00864490"/>
    <w:rsid w:val="00875BB5"/>
    <w:rsid w:val="0087753C"/>
    <w:rsid w:val="008922A1"/>
    <w:rsid w:val="00894724"/>
    <w:rsid w:val="008A4B70"/>
    <w:rsid w:val="008B5AEA"/>
    <w:rsid w:val="008B7423"/>
    <w:rsid w:val="008C3933"/>
    <w:rsid w:val="008C3959"/>
    <w:rsid w:val="008E0044"/>
    <w:rsid w:val="008F0C74"/>
    <w:rsid w:val="008F7B8F"/>
    <w:rsid w:val="0091316B"/>
    <w:rsid w:val="00931725"/>
    <w:rsid w:val="00935C9A"/>
    <w:rsid w:val="009511F3"/>
    <w:rsid w:val="00981B57"/>
    <w:rsid w:val="009A1389"/>
    <w:rsid w:val="009C173C"/>
    <w:rsid w:val="009D7B70"/>
    <w:rsid w:val="009E4BC9"/>
    <w:rsid w:val="00A27399"/>
    <w:rsid w:val="00A27465"/>
    <w:rsid w:val="00A471C5"/>
    <w:rsid w:val="00A52290"/>
    <w:rsid w:val="00A62B56"/>
    <w:rsid w:val="00A77816"/>
    <w:rsid w:val="00A83BCD"/>
    <w:rsid w:val="00A91159"/>
    <w:rsid w:val="00AB25F0"/>
    <w:rsid w:val="00AB3064"/>
    <w:rsid w:val="00AB5B90"/>
    <w:rsid w:val="00AB6C2A"/>
    <w:rsid w:val="00AB6E25"/>
    <w:rsid w:val="00AC1258"/>
    <w:rsid w:val="00AC29AD"/>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1348"/>
    <w:rsid w:val="00C468E0"/>
    <w:rsid w:val="00C555C8"/>
    <w:rsid w:val="00C55760"/>
    <w:rsid w:val="00C56343"/>
    <w:rsid w:val="00C654DD"/>
    <w:rsid w:val="00C70C09"/>
    <w:rsid w:val="00C70CF6"/>
    <w:rsid w:val="00C7241D"/>
    <w:rsid w:val="00C82D34"/>
    <w:rsid w:val="00C83E7D"/>
    <w:rsid w:val="00C87395"/>
    <w:rsid w:val="00C9218A"/>
    <w:rsid w:val="00CB3F0A"/>
    <w:rsid w:val="00CC64A5"/>
    <w:rsid w:val="00CD03DC"/>
    <w:rsid w:val="00CD56DB"/>
    <w:rsid w:val="00D0261D"/>
    <w:rsid w:val="00D20780"/>
    <w:rsid w:val="00D2720D"/>
    <w:rsid w:val="00D37984"/>
    <w:rsid w:val="00D76C27"/>
    <w:rsid w:val="00D879BE"/>
    <w:rsid w:val="00D97E5F"/>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80F21"/>
    <w:rsid w:val="00E82029"/>
    <w:rsid w:val="00E91077"/>
    <w:rsid w:val="00EA246F"/>
    <w:rsid w:val="00ED6869"/>
    <w:rsid w:val="00EE5402"/>
    <w:rsid w:val="00F12A5D"/>
    <w:rsid w:val="00F323C9"/>
    <w:rsid w:val="00F370C3"/>
    <w:rsid w:val="00F440B9"/>
    <w:rsid w:val="00F44BF4"/>
    <w:rsid w:val="00F45D7E"/>
    <w:rsid w:val="00F529B2"/>
    <w:rsid w:val="00F53E82"/>
    <w:rsid w:val="00F54C63"/>
    <w:rsid w:val="00F55C3E"/>
    <w:rsid w:val="00F60C8C"/>
    <w:rsid w:val="00F7286D"/>
    <w:rsid w:val="00F75EB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3669</Words>
  <Characters>19815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3</cp:revision>
  <cp:lastPrinted>2024-05-14T14:27:00Z</cp:lastPrinted>
  <dcterms:created xsi:type="dcterms:W3CDTF">2025-05-15T21:50:00Z</dcterms:created>
  <dcterms:modified xsi:type="dcterms:W3CDTF">2025-09-16T03:55:00Z</dcterms:modified>
</cp:coreProperties>
</file>