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E64A62">
        <w:tc>
          <w:tcPr>
            <w:tcW w:w="10773" w:type="dxa"/>
            <w:tcBorders>
              <w:top w:val="nil"/>
              <w:left w:val="nil"/>
              <w:bottom w:val="nil"/>
              <w:right w:val="nil"/>
            </w:tcBorders>
            <w:shd w:val="clear" w:color="auto" w:fill="1B3D95"/>
          </w:tcPr>
          <w:p w14:paraId="1DF19C11" w14:textId="77777777" w:rsidR="000A7913" w:rsidRPr="00E64A62"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IDENTIFICAÇÃO</w:t>
            </w:r>
          </w:p>
        </w:tc>
      </w:tr>
    </w:tbl>
    <w:p w14:paraId="7A6A9184" w14:textId="6D454341" w:rsidR="007E1133" w:rsidRPr="008C3B66" w:rsidRDefault="007E1133" w:rsidP="00B06D60">
      <w:pPr>
        <w:autoSpaceDE w:val="0"/>
        <w:autoSpaceDN w:val="0"/>
        <w:adjustRightInd w:val="0"/>
        <w:spacing w:after="0" w:line="360" w:lineRule="auto"/>
        <w:ind w:right="128"/>
        <w:jc w:val="both"/>
        <w:rPr>
          <w:rFonts w:ascii="Arial" w:hAnsi="Arial" w:cs="Arial"/>
          <w:b/>
          <w:bCs/>
          <w:sz w:val="10"/>
          <w:szCs w:val="24"/>
        </w:rPr>
      </w:pPr>
    </w:p>
    <w:p w14:paraId="50BCCCCF" w14:textId="182F263F"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18732D">
        <w:rPr>
          <w:rFonts w:ascii="Arial" w:hAnsi="Arial" w:cs="Arial"/>
        </w:rPr>
        <w:t xml:space="preserve">TOP 1 EVOLUTION </w:t>
      </w:r>
      <w:r w:rsidR="00062272">
        <w:rPr>
          <w:rFonts w:ascii="Arial" w:hAnsi="Arial" w:cs="Arial"/>
        </w:rPr>
        <w:t>SAE 5</w:t>
      </w:r>
      <w:r w:rsidR="00F85CB3" w:rsidRPr="00F85CB3">
        <w:rPr>
          <w:rFonts w:ascii="Arial" w:hAnsi="Arial" w:cs="Arial"/>
        </w:rPr>
        <w:t>W20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 xml:space="preserve">Lubrificante totalmente sintético desenvolvido para motores de alto desempenho movidos a gasolina, etanol, </w:t>
      </w:r>
      <w:proofErr w:type="spellStart"/>
      <w:r w:rsidR="00F85CB3" w:rsidRPr="00F85CB3">
        <w:rPr>
          <w:rFonts w:ascii="Arial" w:hAnsi="Arial" w:cs="Arial"/>
        </w:rPr>
        <w:t>flex</w:t>
      </w:r>
      <w:proofErr w:type="spellEnd"/>
      <w:r w:rsidR="00F85CB3" w:rsidRPr="00F85CB3">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7AEC4B04" w14:textId="77777777" w:rsidR="00B27D34" w:rsidRPr="008C3B66" w:rsidRDefault="00B27D34"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E64A62">
        <w:tc>
          <w:tcPr>
            <w:tcW w:w="10773" w:type="dxa"/>
            <w:tcBorders>
              <w:top w:val="nil"/>
              <w:left w:val="nil"/>
              <w:bottom w:val="nil"/>
              <w:right w:val="nil"/>
            </w:tcBorders>
            <w:shd w:val="clear" w:color="auto" w:fill="1B3D95"/>
          </w:tcPr>
          <w:p w14:paraId="4B1FCB2B" w14:textId="77777777" w:rsidR="000A7913" w:rsidRPr="00E64A6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64A62">
              <w:rPr>
                <w:rFonts w:ascii="Arial" w:hAnsi="Arial" w:cs="Arial"/>
                <w:b/>
                <w:color w:val="FFFFFF" w:themeColor="background1"/>
                <w:sz w:val="24"/>
                <w:szCs w:val="24"/>
              </w:rPr>
              <w:t>IDENTIFICAÇÃO DE PERIGOS</w:t>
            </w:r>
          </w:p>
        </w:tc>
      </w:tr>
    </w:tbl>
    <w:p w14:paraId="365D7675" w14:textId="77777777" w:rsidR="00C83E7D" w:rsidRPr="008C3B66"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1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5606E1F2" w14:textId="77777777" w:rsidR="00B27D34" w:rsidRPr="008C3B66" w:rsidRDefault="00B27D34" w:rsidP="00B06D60">
      <w:pPr>
        <w:spacing w:line="360" w:lineRule="auto"/>
        <w:ind w:right="128"/>
        <w:jc w:val="both"/>
        <w:rPr>
          <w:rFonts w:ascii="Arial" w:hAnsi="Arial" w:cs="Arial"/>
          <w:sz w:val="2"/>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64A62">
        <w:tc>
          <w:tcPr>
            <w:tcW w:w="10773" w:type="dxa"/>
            <w:shd w:val="clear" w:color="auto" w:fill="1B3D95"/>
          </w:tcPr>
          <w:p w14:paraId="11358F0E" w14:textId="77777777" w:rsidR="000A7913" w:rsidRPr="00E64A6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64A62">
              <w:rPr>
                <w:rFonts w:ascii="Arial" w:hAnsi="Arial" w:cs="Arial"/>
                <w:b/>
                <w:color w:val="FFFFFF" w:themeColor="background1"/>
                <w:sz w:val="24"/>
                <w:szCs w:val="24"/>
              </w:rPr>
              <w:t>COMPOSIÇÃO E INFORMAÇÕES SOBRE OS INGREDIENTES</w:t>
            </w:r>
          </w:p>
        </w:tc>
      </w:tr>
    </w:tbl>
    <w:p w14:paraId="63B22338" w14:textId="77777777" w:rsidR="00750AB4" w:rsidRPr="008C3B66" w:rsidRDefault="00750AB4" w:rsidP="00B06D60">
      <w:pPr>
        <w:tabs>
          <w:tab w:val="left" w:pos="5025"/>
        </w:tabs>
        <w:ind w:right="128"/>
        <w:jc w:val="both"/>
        <w:rPr>
          <w:rFonts w:ascii="Arial" w:hAnsi="Arial" w:cs="Arial"/>
          <w:sz w:val="10"/>
          <w:szCs w:val="20"/>
        </w:rPr>
      </w:pPr>
    </w:p>
    <w:p w14:paraId="2C1240FE" w14:textId="57212114" w:rsidR="008F7B8F" w:rsidRPr="008C3B6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lastRenderedPageBreak/>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79B33F69" w:rsidR="00F85CB3" w:rsidRPr="002C432A" w:rsidRDefault="00EF3E5C"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EF3E5C">
              <w:rPr>
                <w:rFonts w:ascii="Arial" w:eastAsia="Roboto" w:hAnsi="Arial" w:cs="Arial"/>
                <w:bCs/>
                <w:sz w:val="18"/>
                <w:szCs w:val="18"/>
              </w:rPr>
              <w:t xml:space="preserve">Tox. Aspiração – </w:t>
            </w:r>
            <w:proofErr w:type="spellStart"/>
            <w:r w:rsidRPr="00EF3E5C">
              <w:rPr>
                <w:rFonts w:ascii="Arial" w:eastAsia="Roboto" w:hAnsi="Arial" w:cs="Arial"/>
                <w:bCs/>
                <w:sz w:val="18"/>
                <w:szCs w:val="18"/>
              </w:rPr>
              <w:t>Cat</w:t>
            </w:r>
            <w:proofErr w:type="spellEnd"/>
            <w:r w:rsidRPr="00EF3E5C">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w:t>
            </w:r>
            <w:proofErr w:type="gramStart"/>
            <w:r>
              <w:rPr>
                <w:rFonts w:ascii="Arial" w:hAnsi="Arial" w:cs="Arial"/>
                <w:bCs/>
                <w:sz w:val="18"/>
                <w:szCs w:val="18"/>
              </w:rPr>
              <w:t>a</w:t>
            </w:r>
            <w:proofErr w:type="gramEnd"/>
            <w:r>
              <w:rPr>
                <w:rFonts w:ascii="Arial" w:hAnsi="Arial" w:cs="Arial"/>
                <w:bCs/>
                <w:sz w:val="18"/>
                <w:szCs w:val="18"/>
              </w:rPr>
              <w:t xml:space="preserve">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00AAD48" w14:textId="77777777" w:rsidR="00980807" w:rsidRPr="00980807" w:rsidRDefault="00980807" w:rsidP="00980807">
      <w:pPr>
        <w:spacing w:line="360" w:lineRule="auto"/>
        <w:ind w:right="128"/>
        <w:jc w:val="both"/>
        <w:rPr>
          <w:rFonts w:ascii="Arial" w:hAnsi="Arial" w:cs="Arial"/>
        </w:rPr>
      </w:pPr>
      <w:r w:rsidRPr="00980807">
        <w:rPr>
          <w:rFonts w:ascii="Arial" w:hAnsi="Arial" w:cs="Arial"/>
        </w:rPr>
        <w:t>* Essa mistura não contém ingredientes carcinogênicos. Os óleos minerais, quando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64A62">
        <w:tc>
          <w:tcPr>
            <w:tcW w:w="10773" w:type="dxa"/>
            <w:shd w:val="clear" w:color="auto" w:fill="1B3D95"/>
          </w:tcPr>
          <w:p w14:paraId="116F88E0" w14:textId="77777777" w:rsidR="000A7913" w:rsidRPr="00E64A62"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MEDIDAS DE PRIMEIROS SOCORROS</w:t>
            </w:r>
          </w:p>
        </w:tc>
      </w:tr>
    </w:tbl>
    <w:p w14:paraId="5778AB1A" w14:textId="77777777" w:rsidR="000A7913" w:rsidRPr="008C3B66" w:rsidRDefault="000A7913" w:rsidP="00B06D60">
      <w:pPr>
        <w:tabs>
          <w:tab w:val="left" w:pos="5025"/>
        </w:tabs>
        <w:ind w:right="128"/>
        <w:jc w:val="both"/>
        <w:rPr>
          <w:rFonts w:ascii="Arial" w:hAnsi="Arial" w:cs="Arial"/>
          <w:sz w:val="16"/>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2CFEE2D8"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64A62">
        <w:tc>
          <w:tcPr>
            <w:tcW w:w="10773" w:type="dxa"/>
            <w:shd w:val="clear" w:color="auto" w:fill="1B3D95"/>
          </w:tcPr>
          <w:p w14:paraId="634CD675" w14:textId="77777777" w:rsidR="000A7913" w:rsidRPr="00E64A6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MEDIDAS DE PREVENÇÃO E COMBATE A INCÊNDIO</w:t>
            </w:r>
          </w:p>
        </w:tc>
      </w:tr>
    </w:tbl>
    <w:p w14:paraId="5620BDB0" w14:textId="77777777" w:rsidR="000A7913" w:rsidRPr="008C3B66" w:rsidRDefault="000A7913" w:rsidP="00B06D60">
      <w:pPr>
        <w:tabs>
          <w:tab w:val="left" w:pos="5025"/>
        </w:tabs>
        <w:ind w:right="128"/>
        <w:jc w:val="both"/>
        <w:rPr>
          <w:rFonts w:ascii="Arial" w:hAnsi="Arial" w:cs="Arial"/>
          <w:sz w:val="8"/>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proofErr w:type="gramStart"/>
      <w:r w:rsidRPr="00A77816">
        <w:rPr>
          <w:rFonts w:ascii="Arial" w:hAnsi="Arial" w:cs="Arial"/>
        </w:rPr>
        <w:t xml:space="preserve"> Não</w:t>
      </w:r>
      <w:proofErr w:type="gramEnd"/>
      <w:r w:rsidRPr="00A77816">
        <w:rPr>
          <w:rFonts w:ascii="Arial" w:hAnsi="Arial" w:cs="Arial"/>
        </w:rPr>
        <w:t xml:space="preserve">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64A62">
        <w:tc>
          <w:tcPr>
            <w:tcW w:w="10773" w:type="dxa"/>
            <w:shd w:val="clear" w:color="auto" w:fill="1B3D95"/>
          </w:tcPr>
          <w:p w14:paraId="3E12BEA3" w14:textId="77777777" w:rsidR="000A7913" w:rsidRPr="00E64A6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4951457F" w:rsidR="00405943" w:rsidRPr="008C3B66"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proofErr w:type="gramStart"/>
      <w:r w:rsidRPr="00DC6991">
        <w:rPr>
          <w:rFonts w:ascii="Arial" w:hAnsi="Arial" w:cs="Arial"/>
          <w:b/>
        </w:rPr>
        <w:t xml:space="preserve"> </w:t>
      </w:r>
      <w:r w:rsidRPr="00DC6991">
        <w:rPr>
          <w:rFonts w:ascii="Arial" w:hAnsi="Arial" w:cs="Arial"/>
          <w:bCs/>
        </w:rPr>
        <w:t>Utilize</w:t>
      </w:r>
      <w:proofErr w:type="gramEnd"/>
      <w:r w:rsidRPr="00DC6991">
        <w:rPr>
          <w:rFonts w:ascii="Arial" w:hAnsi="Arial" w:cs="Arial"/>
          <w:bCs/>
        </w:rPr>
        <w:t xml:space="preserv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64A62">
        <w:tc>
          <w:tcPr>
            <w:tcW w:w="10773" w:type="dxa"/>
            <w:tcBorders>
              <w:top w:val="nil"/>
              <w:left w:val="nil"/>
              <w:bottom w:val="nil"/>
              <w:right w:val="nil"/>
            </w:tcBorders>
            <w:shd w:val="clear" w:color="auto" w:fill="1B3D95"/>
          </w:tcPr>
          <w:p w14:paraId="5BE987DF" w14:textId="77777777" w:rsidR="003F0640" w:rsidRPr="00E64A6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MANUSEIO E ARMAZENAMENTO</w:t>
            </w:r>
          </w:p>
        </w:tc>
      </w:tr>
    </w:tbl>
    <w:p w14:paraId="25271F40" w14:textId="77777777" w:rsidR="00062A55" w:rsidRPr="008C3B66" w:rsidRDefault="00062A55" w:rsidP="00B06D60">
      <w:pPr>
        <w:tabs>
          <w:tab w:val="left" w:pos="5025"/>
        </w:tabs>
        <w:ind w:right="128"/>
        <w:jc w:val="both"/>
        <w:rPr>
          <w:rFonts w:ascii="Arial" w:hAnsi="Arial" w:cs="Arial"/>
          <w:sz w:val="10"/>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94D3078" w14:textId="4DE3E87C"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E64A62">
        <w:tc>
          <w:tcPr>
            <w:tcW w:w="10773" w:type="dxa"/>
            <w:tcBorders>
              <w:top w:val="nil"/>
              <w:left w:val="nil"/>
              <w:bottom w:val="nil"/>
              <w:right w:val="nil"/>
            </w:tcBorders>
            <w:shd w:val="clear" w:color="auto" w:fill="1B3D95"/>
          </w:tcPr>
          <w:p w14:paraId="307B99F9" w14:textId="77777777" w:rsidR="003F0640" w:rsidRPr="00E64A6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E64A62">
        <w:tc>
          <w:tcPr>
            <w:tcW w:w="10773" w:type="dxa"/>
            <w:tcBorders>
              <w:top w:val="nil"/>
              <w:left w:val="nil"/>
              <w:bottom w:val="nil"/>
              <w:right w:val="nil"/>
            </w:tcBorders>
            <w:shd w:val="clear" w:color="auto" w:fill="1B3D95"/>
          </w:tcPr>
          <w:p w14:paraId="6B2E7B77" w14:textId="77777777" w:rsidR="003F0640" w:rsidRPr="00E64A6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734174E6" w14:textId="6D7B390A"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062272">
        <w:rPr>
          <w:rFonts w:ascii="Arial" w:hAnsi="Arial" w:cs="Arial"/>
          <w:bCs/>
        </w:rPr>
        <w:t>226</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proofErr w:type="gramStart"/>
      <w:r w:rsidRPr="00D929F3">
        <w:rPr>
          <w:rFonts w:ascii="Arial" w:hAnsi="Arial" w:cs="Arial"/>
          <w:b/>
        </w:rPr>
        <w:t>pH</w:t>
      </w:r>
      <w:proofErr w:type="gramEnd"/>
      <w:r w:rsidRPr="00D929F3">
        <w:rPr>
          <w:rFonts w:ascii="Arial" w:hAnsi="Arial" w:cs="Arial"/>
          <w:b/>
        </w:rPr>
        <w:t xml:space="preserve">: </w:t>
      </w:r>
      <w:r w:rsidRPr="00D929F3">
        <w:rPr>
          <w:rFonts w:ascii="Arial" w:hAnsi="Arial" w:cs="Arial"/>
        </w:rPr>
        <w:t>Não há dados disponíveis.</w:t>
      </w:r>
    </w:p>
    <w:p w14:paraId="17F4EBBD" w14:textId="3E5CD46C"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062272">
        <w:rPr>
          <w:rFonts w:ascii="Arial" w:hAnsi="Arial" w:cs="Arial"/>
          <w:bCs/>
        </w:rPr>
        <w:t>45,18</w:t>
      </w:r>
      <w:r w:rsidRPr="008B2FC8">
        <w:rPr>
          <w:rFonts w:ascii="Arial" w:hAnsi="Arial" w:cs="Arial"/>
          <w:bCs/>
        </w:rPr>
        <w:t xml:space="preserve"> </w:t>
      </w:r>
      <w:proofErr w:type="spellStart"/>
      <w:r w:rsidRPr="008B2FC8">
        <w:rPr>
          <w:rFonts w:ascii="Arial" w:hAnsi="Arial" w:cs="Arial"/>
          <w:bCs/>
        </w:rPr>
        <w:t>cSt</w:t>
      </w:r>
      <w:proofErr w:type="spellEnd"/>
    </w:p>
    <w:p w14:paraId="2A047EFD" w14:textId="76E6FB9E"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062272">
        <w:rPr>
          <w:rFonts w:ascii="Arial" w:hAnsi="Arial" w:cs="Arial"/>
          <w:bCs/>
        </w:rPr>
        <w:t>8,21</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DF97E7F"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45</w:t>
      </w:r>
      <w:r w:rsidRPr="008B2FC8">
        <w:rPr>
          <w:rFonts w:ascii="Arial" w:hAnsi="Arial" w:cs="Arial"/>
          <w:bCs/>
        </w:rPr>
        <w:t xml:space="preserve"> g/cm³.</w:t>
      </w:r>
    </w:p>
    <w:p w14:paraId="304D7521" w14:textId="77777777" w:rsidR="00F85CB3" w:rsidRPr="00D929F3" w:rsidRDefault="00F85CB3" w:rsidP="00F85CB3">
      <w:pPr>
        <w:spacing w:after="0" w:line="360" w:lineRule="auto"/>
        <w:ind w:right="128"/>
        <w:jc w:val="both"/>
        <w:rPr>
          <w:rFonts w:ascii="Arial" w:hAnsi="Arial" w:cs="Arial"/>
          <w:b/>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E64A62">
        <w:tc>
          <w:tcPr>
            <w:tcW w:w="10773" w:type="dxa"/>
            <w:tcBorders>
              <w:top w:val="nil"/>
              <w:left w:val="nil"/>
              <w:bottom w:val="nil"/>
              <w:right w:val="nil"/>
            </w:tcBorders>
            <w:shd w:val="clear" w:color="auto" w:fill="1B3D95"/>
          </w:tcPr>
          <w:p w14:paraId="1BC3A2C4" w14:textId="2A6C17EE" w:rsidR="003F0640" w:rsidRPr="00E64A62"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 xml:space="preserve"> </w:t>
            </w:r>
            <w:r w:rsidR="00062A55" w:rsidRPr="00E64A62">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E64A62">
        <w:tc>
          <w:tcPr>
            <w:tcW w:w="10773" w:type="dxa"/>
            <w:tcBorders>
              <w:top w:val="nil"/>
              <w:left w:val="nil"/>
              <w:bottom w:val="nil"/>
              <w:right w:val="nil"/>
            </w:tcBorders>
            <w:shd w:val="clear" w:color="auto" w:fill="1B3D95"/>
          </w:tcPr>
          <w:p w14:paraId="264C0411" w14:textId="40A7B858" w:rsidR="003F0640" w:rsidRPr="00E64A62" w:rsidRDefault="004D1CE4" w:rsidP="00B06D60">
            <w:p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 xml:space="preserve">11. </w:t>
            </w:r>
            <w:r w:rsidR="00062A55" w:rsidRPr="00E64A62">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773395" w:rsidRDefault="004151DA" w:rsidP="00B06D60">
      <w:pPr>
        <w:shd w:val="clear" w:color="auto" w:fill="FFFFFF"/>
        <w:spacing w:after="140" w:line="360" w:lineRule="auto"/>
        <w:ind w:right="128"/>
        <w:jc w:val="both"/>
        <w:rPr>
          <w:rFonts w:ascii="Arial" w:hAnsi="Arial" w:cs="Arial"/>
          <w:sz w:val="10"/>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11A7ABB3"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773395">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119A53A9"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773395">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E64A62">
        <w:tc>
          <w:tcPr>
            <w:tcW w:w="10773" w:type="dxa"/>
            <w:tcBorders>
              <w:top w:val="nil"/>
              <w:left w:val="nil"/>
              <w:bottom w:val="nil"/>
              <w:right w:val="nil"/>
            </w:tcBorders>
            <w:shd w:val="clear" w:color="auto" w:fill="1B3D95"/>
          </w:tcPr>
          <w:p w14:paraId="6179F9F3" w14:textId="77777777" w:rsidR="00062A55" w:rsidRPr="00E64A6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INFORMAÇÕES ECOLÓGICAS</w:t>
            </w:r>
          </w:p>
        </w:tc>
      </w:tr>
    </w:tbl>
    <w:p w14:paraId="29607D4C" w14:textId="77777777" w:rsidR="00062A55" w:rsidRPr="00773395" w:rsidRDefault="00062A55" w:rsidP="00B06D60">
      <w:pPr>
        <w:tabs>
          <w:tab w:val="left" w:pos="5025"/>
        </w:tabs>
        <w:ind w:right="128"/>
        <w:jc w:val="both"/>
        <w:rPr>
          <w:rFonts w:ascii="Arial" w:hAnsi="Arial" w:cs="Arial"/>
          <w:sz w:val="2"/>
          <w:szCs w:val="8"/>
        </w:rPr>
      </w:pPr>
      <w:bookmarkStart w:id="1" w:name="_GoBack"/>
      <w:bookmarkEnd w:id="1"/>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E64A62">
        <w:tc>
          <w:tcPr>
            <w:tcW w:w="10773" w:type="dxa"/>
            <w:tcBorders>
              <w:top w:val="nil"/>
              <w:left w:val="nil"/>
              <w:bottom w:val="nil"/>
              <w:right w:val="nil"/>
            </w:tcBorders>
            <w:shd w:val="clear" w:color="auto" w:fill="1B3D95"/>
          </w:tcPr>
          <w:p w14:paraId="119538D2" w14:textId="00B2BC4E" w:rsidR="00062A55" w:rsidRPr="00E64A6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CONSIDERA</w:t>
            </w:r>
            <w:r w:rsidR="00301FAA" w:rsidRPr="00E64A62">
              <w:rPr>
                <w:rFonts w:ascii="Arial" w:hAnsi="Arial" w:cs="Arial"/>
                <w:b/>
                <w:color w:val="FFFFFF" w:themeColor="background1"/>
                <w:sz w:val="24"/>
                <w:szCs w:val="24"/>
              </w:rPr>
              <w:t>ÇÕES</w:t>
            </w:r>
            <w:r w:rsidRPr="00E64A62">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E64A62">
        <w:tc>
          <w:tcPr>
            <w:tcW w:w="10773" w:type="dxa"/>
            <w:tcBorders>
              <w:top w:val="nil"/>
              <w:left w:val="nil"/>
              <w:bottom w:val="nil"/>
              <w:right w:val="nil"/>
            </w:tcBorders>
            <w:shd w:val="clear" w:color="auto" w:fill="1B3D95"/>
          </w:tcPr>
          <w:p w14:paraId="482F1D1E" w14:textId="77777777" w:rsidR="00062A55" w:rsidRPr="00E64A6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E64A62">
        <w:tc>
          <w:tcPr>
            <w:tcW w:w="10773" w:type="dxa"/>
            <w:tcBorders>
              <w:top w:val="nil"/>
              <w:left w:val="nil"/>
              <w:bottom w:val="nil"/>
              <w:right w:val="nil"/>
            </w:tcBorders>
            <w:shd w:val="clear" w:color="auto" w:fill="1B3D95"/>
          </w:tcPr>
          <w:p w14:paraId="43788E9D" w14:textId="77777777" w:rsidR="00062A55" w:rsidRPr="00E64A6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E64A62">
        <w:tc>
          <w:tcPr>
            <w:tcW w:w="10773" w:type="dxa"/>
            <w:tcBorders>
              <w:top w:val="nil"/>
              <w:left w:val="nil"/>
              <w:bottom w:val="nil"/>
              <w:right w:val="nil"/>
            </w:tcBorders>
            <w:shd w:val="clear" w:color="auto" w:fill="1B3D95"/>
          </w:tcPr>
          <w:p w14:paraId="5DE797C2" w14:textId="77777777" w:rsidR="00062A55" w:rsidRPr="00E64A6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64A62">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63369BB1" w14:textId="77777777" w:rsidR="00001DC8" w:rsidRDefault="00001DC8" w:rsidP="00B06D60">
      <w:pPr>
        <w:spacing w:after="0" w:line="360" w:lineRule="auto"/>
        <w:ind w:right="128"/>
        <w:jc w:val="both"/>
        <w:rPr>
          <w:rFonts w:ascii="Arial" w:hAnsi="Arial" w:cs="Arial"/>
          <w:sz w:val="14"/>
          <w:szCs w:val="14"/>
        </w:rPr>
      </w:pPr>
    </w:p>
    <w:p w14:paraId="40FFC372" w14:textId="77777777" w:rsidR="00001DC8" w:rsidRPr="00B23895" w:rsidRDefault="00001DC8"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773395">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EC3F" w14:textId="77777777" w:rsidR="00E64A62" w:rsidRDefault="00E64A62" w:rsidP="00E64A62">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27D57466" wp14:editId="42DF3D3A">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9B1A189" w14:textId="77777777" w:rsidR="00E64A62" w:rsidRPr="009A1389" w:rsidRDefault="00E64A62" w:rsidP="00E64A62">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D57466"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9B1A189" w14:textId="77777777" w:rsidR="00E64A62" w:rsidRPr="009A1389" w:rsidRDefault="00E64A62" w:rsidP="00E64A62">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0C0A00CF" w14:textId="77777777" w:rsidR="00E64A62" w:rsidRPr="009A1389" w:rsidRDefault="00E64A62" w:rsidP="00E64A62">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093CC18D" wp14:editId="7AD9EBC7">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6CDC975" w14:textId="77777777" w:rsidR="00E64A62" w:rsidRDefault="00E64A62" w:rsidP="00E64A62">
    <w:pPr>
      <w:pStyle w:val="Cabealho"/>
      <w:spacing w:line="276" w:lineRule="auto"/>
      <w:ind w:left="850" w:right="-449" w:hanging="1134"/>
      <w:jc w:val="center"/>
      <w:rPr>
        <w:noProof/>
      </w:rPr>
    </w:pPr>
  </w:p>
  <w:p w14:paraId="4FB6798D" w14:textId="77777777" w:rsidR="00E64A62" w:rsidRPr="005661E9" w:rsidRDefault="00E64A62" w:rsidP="00E64A62">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2661ED5E" w14:textId="77777777" w:rsidR="00E64A62" w:rsidRDefault="00E64A62" w:rsidP="00E64A62">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15DBEC25" w14:textId="77777777" w:rsidR="00E64A62" w:rsidRPr="009A1389" w:rsidRDefault="00E64A62" w:rsidP="00E64A62">
    <w:pPr>
      <w:pStyle w:val="Cabealho"/>
      <w:tabs>
        <w:tab w:val="clear" w:pos="4252"/>
        <w:tab w:val="center" w:pos="3686"/>
      </w:tabs>
      <w:ind w:right="1546"/>
      <w:jc w:val="center"/>
      <w:rPr>
        <w:rFonts w:ascii="Myanmar Text" w:hAnsi="Myanmar Text" w:cs="Myanmar Text"/>
        <w:bCs/>
        <w:sz w:val="10"/>
        <w:szCs w:val="14"/>
      </w:rPr>
    </w:pPr>
  </w:p>
  <w:p w14:paraId="30FEF560" w14:textId="0D6A44E1" w:rsidR="00E64A62" w:rsidRPr="008C3B66" w:rsidRDefault="00E64A62" w:rsidP="00E64A62">
    <w:pPr>
      <w:pStyle w:val="Cabealho"/>
      <w:tabs>
        <w:tab w:val="clear" w:pos="4252"/>
        <w:tab w:val="center" w:pos="3686"/>
      </w:tabs>
      <w:ind w:left="850" w:right="1546" w:hanging="1134"/>
      <w:jc w:val="center"/>
      <w:rPr>
        <w:rFonts w:ascii="Myanmar Text" w:hAnsi="Myanmar Text" w:cs="Myanmar Text"/>
        <w:bCs/>
        <w:sz w:val="28"/>
        <w:szCs w:val="36"/>
        <w:lang w:val="en-US"/>
      </w:rPr>
    </w:pPr>
    <w:r w:rsidRPr="008C3B66">
      <w:rPr>
        <w:rFonts w:ascii="Myanmar Text" w:hAnsi="Myanmar Text" w:cs="Myanmar Text"/>
        <w:bCs/>
        <w:sz w:val="28"/>
        <w:szCs w:val="36"/>
        <w:lang w:val="en-US"/>
      </w:rPr>
      <w:t>TOP 1 EVOLUTION SAE 5W20 API SN</w:t>
    </w:r>
  </w:p>
  <w:bookmarkEnd w:id="3"/>
  <w:p w14:paraId="4018249D" w14:textId="3E35E6B4" w:rsidR="00E64A62" w:rsidRPr="008C3B66" w:rsidRDefault="008C3B66" w:rsidP="00E64A62">
    <w:pPr>
      <w:pStyle w:val="Cabealho"/>
      <w:ind w:left="850" w:right="-449"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15371BEB" wp14:editId="373A6AD4">
          <wp:simplePos x="0" y="0"/>
          <wp:positionH relativeFrom="column">
            <wp:posOffset>1880235</wp:posOffset>
          </wp:positionH>
          <wp:positionV relativeFrom="paragraph">
            <wp:posOffset>61595</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417279" w14:textId="1DFAEBD4" w:rsidR="00E64A62" w:rsidRPr="008C3B66" w:rsidRDefault="00E64A62" w:rsidP="00E64A62">
    <w:pPr>
      <w:pStyle w:val="Cabealho"/>
      <w:ind w:left="850" w:right="-449" w:hanging="1134"/>
      <w:jc w:val="center"/>
      <w:rPr>
        <w:rFonts w:ascii="Myanmar Text" w:hAnsi="Myanmar Text" w:cs="Myanmar Text"/>
        <w:bCs/>
        <w:sz w:val="16"/>
        <w:szCs w:val="20"/>
        <w:lang w:val="en-US"/>
      </w:rPr>
    </w:pPr>
    <w:r w:rsidRPr="008C3B66">
      <w:rPr>
        <w:rFonts w:ascii="Myanmar Text" w:hAnsi="Myanmar Text" w:cs="Myanmar Text"/>
        <w:bCs/>
        <w:sz w:val="16"/>
        <w:szCs w:val="20"/>
        <w:lang w:val="en-US"/>
      </w:rPr>
      <w:t xml:space="preserve">                                                                                                                                                  </w:t>
    </w:r>
  </w:p>
  <w:p w14:paraId="5ED18B2F" w14:textId="77777777" w:rsidR="00E64A62" w:rsidRPr="008C3B66" w:rsidRDefault="00E64A62" w:rsidP="00E64A62">
    <w:pPr>
      <w:pStyle w:val="Cabealho"/>
      <w:ind w:left="850" w:right="-449" w:hanging="1134"/>
      <w:jc w:val="center"/>
      <w:rPr>
        <w:rFonts w:ascii="Myanmar Text" w:hAnsi="Myanmar Text" w:cs="Myanmar Text"/>
        <w:bCs/>
        <w:sz w:val="12"/>
        <w:szCs w:val="16"/>
        <w:lang w:val="en-US"/>
      </w:rPr>
    </w:pPr>
  </w:p>
  <w:p w14:paraId="66EB07C6" w14:textId="77777777" w:rsidR="00AA0689" w:rsidRPr="008C3B66" w:rsidRDefault="00AA0689" w:rsidP="00E64A62">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062623B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98E2A394"/>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A9B075D8"/>
    <w:lvl w:ilvl="0" w:tplc="75966DA0">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01DC8"/>
    <w:rsid w:val="0001058F"/>
    <w:rsid w:val="0001356E"/>
    <w:rsid w:val="00017FF5"/>
    <w:rsid w:val="000453D3"/>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8732D"/>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45661"/>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3395"/>
    <w:rsid w:val="00775675"/>
    <w:rsid w:val="00790DFE"/>
    <w:rsid w:val="007959F0"/>
    <w:rsid w:val="007A38A5"/>
    <w:rsid w:val="007C70E5"/>
    <w:rsid w:val="007E1133"/>
    <w:rsid w:val="007F23BB"/>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B2FD0"/>
    <w:rsid w:val="008C3B66"/>
    <w:rsid w:val="008E0044"/>
    <w:rsid w:val="008F0C74"/>
    <w:rsid w:val="008F7B8F"/>
    <w:rsid w:val="00931725"/>
    <w:rsid w:val="00935C9A"/>
    <w:rsid w:val="009511F3"/>
    <w:rsid w:val="00980807"/>
    <w:rsid w:val="00981B57"/>
    <w:rsid w:val="00985281"/>
    <w:rsid w:val="009A1389"/>
    <w:rsid w:val="009C173C"/>
    <w:rsid w:val="009C3972"/>
    <w:rsid w:val="009D7B70"/>
    <w:rsid w:val="009E4BC9"/>
    <w:rsid w:val="00A52290"/>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27D34"/>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64A62"/>
    <w:rsid w:val="00E73842"/>
    <w:rsid w:val="00E91077"/>
    <w:rsid w:val="00EA246F"/>
    <w:rsid w:val="00EC1711"/>
    <w:rsid w:val="00EE5402"/>
    <w:rsid w:val="00EF3E5C"/>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22839060">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55388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CE42-47BF-4FA2-AF7D-63F75879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12</Pages>
  <Words>3808</Words>
  <Characters>20568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31</cp:revision>
  <cp:lastPrinted>2024-05-14T14:27:00Z</cp:lastPrinted>
  <dcterms:created xsi:type="dcterms:W3CDTF">2024-05-13T14:35:00Z</dcterms:created>
  <dcterms:modified xsi:type="dcterms:W3CDTF">2025-05-09T16:15:00Z</dcterms:modified>
</cp:coreProperties>
</file>